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  <w:t>{{nazwa_gminy}},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 xml:space="preserve">{{Nazwa_inwestycji}} przewidziana do realizacji na działce/działkach nr {{nr_dzialki}} (obręb {{nr_obrebu}}) położonej w gminie {{nazwa_gminy}} </w:t>
      </w:r>
      <w:r>
        <w:rPr>
          <w:rFonts w:cs="Arial" w:ascii="Arial" w:hAnsi="Arial"/>
          <w:b w:val="false"/>
          <w:sz w:val="22"/>
          <w:szCs w:val="22"/>
        </w:rPr>
        <w:t>przy ulicy {{adres_dzialki}}</w:t>
      </w:r>
      <w:r>
        <w:rPr>
          <w:rFonts w:cs="Arial" w:ascii="Arial" w:hAnsi="Arial"/>
          <w:b w:val="false"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</w:t>
      </w:r>
      <w:r>
        <w:rPr>
          <w:rFonts w:cs="Arial" w:ascii="Arial" w:hAnsi="Arial"/>
          <w:b w:val="false"/>
          <w:sz w:val="22"/>
          <w:szCs w:val="22"/>
        </w:rPr>
        <w:t xml:space="preserve">oraz nie większy niż 200 metrów </w:t>
      </w:r>
      <w:r>
        <w:rPr>
          <w:rFonts w:cs="Arial" w:ascii="Arial" w:hAnsi="Arial"/>
          <w:b w:val="false"/>
          <w:sz w:val="22"/>
          <w:szCs w:val="22"/>
        </w:rPr>
        <w:t>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 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funkcji {{budynek.funkcja}}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o funkcji {{budynek.funkcja}}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o funkcji {{budynek.funkcja}}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o funkcji {{budynek.funkcja}}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obiektu budynek {{budynek.funkcja}} będącego częścią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Lokalny Operator Sieci Elektroenergetycznej 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Lokalne Przedsiębiorstwo Wodociągowe 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Urbanista mgr inż. Imię Nazwisko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LibreOffice/24.2.7.2$Linux_X86_64 LibreOffice_project/420$Build-2</Application>
  <AppVersion>15.0000</AppVersion>
  <Pages>6</Pages>
  <Words>1366</Words>
  <Characters>9179</Characters>
  <CharactersWithSpaces>10466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2026-01-10T10:03:30Z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