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30" w:before="0"/>
        <w:jc w:val="center"/>
      </w:pPr>
      <w:r>
        <w:rPr>
          <w:rFonts w:ascii="Arial" w:cs="Arial" w:eastAsia="Arial" w:hAnsi="Arial"/>
          <w:b/>
          <w:bCs/>
          <w:i w:val="false"/>
          <w:iCs w:val="false"/>
          <w:color w:val="FFFFFF"/>
          <w:sz w:val="52"/>
          <w:szCs w:val="52"/>
        </w:rPr>
        <w:t xml:space="preserve">HydroSovereign AI Engine</w:t>
      </w:r>
    </w:p>
    <w:p>
      <w:pPr>
        <w:spacing w:after="30" w:before="0"/>
        <w:jc w:val="center"/>
      </w:pPr>
      <w:r>
        <w:rPr>
          <w:rFonts w:ascii="Arial" w:cs="Arial" w:eastAsia="Arial" w:hAnsi="Arial"/>
          <w:b/>
          <w:bCs/>
          <w:i w:val="false"/>
          <w:iCs w:val="false"/>
          <w:color w:val="FFFFFF"/>
          <w:sz w:val="40"/>
          <w:szCs w:val="40"/>
        </w:rPr>
        <w:t xml:space="preserve">QGIS Plugin v6.0.3</w:t>
      </w:r>
    </w:p>
    <w:p>
      <w:pPr>
        <w:spacing w:after="20" w:before="0"/>
        <w:jc w:val="center"/>
      </w:pPr>
      <w:r>
        <w:rPr>
          <w:rFonts w:ascii="Arial" w:cs="Arial" w:eastAsia="Arial" w:hAnsi="Arial"/>
          <w:b/>
          <w:bCs/>
          <w:i w:val="false"/>
          <w:iCs w:val="false"/>
          <w:color w:val="0E6B6A"/>
          <w:sz w:val="28"/>
          <w:szCs w:val="28"/>
        </w:rPr>
        <w:t xml:space="preserve">Complete Professional User Manual -- Version 6.0</w:t>
      </w:r>
    </w:p>
    <w:p>
      <w:pPr>
        <w:spacing w:after="180" w:before="0"/>
        <w:jc w:val="center"/>
      </w:pPr>
      <w:r>
        <w:rPr>
          <w:rFonts w:ascii="Arial" w:cs="Arial" w:eastAsia="Arial" w:hAnsi="Arial"/>
          <w:b w:val="false"/>
          <w:bCs w:val="false"/>
          <w:i/>
          <w:iCs/>
          <w:color w:val="4A5568"/>
          <w:sz w:val="20"/>
          <w:szCs w:val="20"/>
        </w:rPr>
        <w:t xml:space="preserve">15 Chapters -- 5 Appendices -- 16 Tools -- 5 Algorithms -- 26 Basins</w:t>
      </w:r>
    </w:p>
    <w:p>
      <w:pPr>
        <w:shd w:fill="276749" w:val="clear"/>
        <w:spacing w:after="200" w:before="0"/>
        <w:ind w:left="260" w:right="260"/>
        <w:jc w:val="center"/>
      </w:pPr>
      <w:r>
        <w:rPr>
          <w:rFonts w:ascii="Arial" w:cs="Arial" w:eastAsia="Arial" w:hAnsi="Arial"/>
          <w:b/>
          <w:bCs/>
          <w:i w:val="false"/>
          <w:iCs w:val="false"/>
          <w:color w:val="FFFFFF"/>
          <w:sz w:val="18"/>
          <w:szCs w:val="18"/>
        </w:rPr>
        <w:t xml:space="preserve">PUBLISHED  QGIS Plugin Repository  ID: 5040  v6.0.3  April 2026</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400"/>
        <w:gridCol w:w="6600"/>
      </w:tblGrid>
      <w:tr>
        <w:trPr>
          <w:tblHeader/>
        </w:trPr>
        <w:tc>
          <w:tcPr>
            <w:tcW w:type="dxa" w:w="24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Field</w:t>
            </w:r>
          </w:p>
        </w:tc>
        <w:tc>
          <w:tcPr>
            <w:tcW w:type="dxa" w:w="66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Details</w:t>
            </w:r>
          </w:p>
        </w:tc>
      </w:tr>
      <w:tr>
        <w:trPr>
          <w:tblHeader w:val="false"/>
        </w:trPr>
        <w:tc>
          <w:tcPr>
            <w:tcW w:type="dxa" w:w="2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Developer</w:t>
            </w:r>
          </w:p>
        </w:tc>
        <w:tc>
          <w:tcPr>
            <w:tcW w:type="dxa" w:w="6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Seifeldin M.G. Alkedir  --  University of Khartoum</w:t>
            </w:r>
          </w:p>
        </w:tc>
      </w:tr>
      <w:tr>
        <w:trPr>
          <w:tblHeader w:val="false"/>
        </w:trPr>
        <w:tc>
          <w:tcPr>
            <w:tcW w:type="dxa" w:w="2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ORCID</w:t>
            </w:r>
          </w:p>
        </w:tc>
        <w:tc>
          <w:tcPr>
            <w:tcW w:type="dxa" w:w="6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0000-0003-0821-2991</w:t>
            </w:r>
          </w:p>
        </w:tc>
      </w:tr>
      <w:tr>
        <w:trPr>
          <w:tblHeader w:val="false"/>
        </w:trPr>
        <w:tc>
          <w:tcPr>
            <w:tcW w:type="dxa" w:w="2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Version</w:t>
            </w:r>
          </w:p>
        </w:tc>
        <w:tc>
          <w:tcPr>
            <w:tcW w:type="dxa" w:w="6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6.0.3  --  April 2026</w:t>
            </w:r>
          </w:p>
        </w:tc>
      </w:tr>
      <w:tr>
        <w:trPr>
          <w:tblHeader w:val="false"/>
        </w:trPr>
        <w:tc>
          <w:tcPr>
            <w:tcW w:type="dxa" w:w="2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Plugin ID</w:t>
            </w:r>
          </w:p>
        </w:tc>
        <w:tc>
          <w:tcPr>
            <w:tcW w:type="dxa" w:w="6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5040  (QGIS Plugin Repository)</w:t>
            </w:r>
          </w:p>
        </w:tc>
      </w:tr>
      <w:tr>
        <w:trPr>
          <w:tblHeader w:val="false"/>
        </w:trPr>
        <w:tc>
          <w:tcPr>
            <w:tcW w:type="dxa" w:w="2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Official URL</w:t>
            </w:r>
          </w:p>
        </w:tc>
        <w:tc>
          <w:tcPr>
            <w:tcW w:type="dxa" w:w="6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https://plugins.qgis.org/plugins/hsae_qgis/</w:t>
            </w:r>
          </w:p>
        </w:tc>
      </w:tr>
      <w:tr>
        <w:trPr>
          <w:tblHeader w:val="false"/>
        </w:trPr>
        <w:tc>
          <w:tcPr>
            <w:tcW w:type="dxa" w:w="2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QGIS Requirement</w:t>
            </w:r>
          </w:p>
        </w:tc>
        <w:tc>
          <w:tcPr>
            <w:tcW w:type="dxa" w:w="6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3.16 LTR minimum  (3.28 LTR recommended)</w:t>
            </w:r>
          </w:p>
        </w:tc>
      </w:tr>
      <w:tr>
        <w:trPr>
          <w:tblHeader w:val="false"/>
        </w:trPr>
        <w:tc>
          <w:tcPr>
            <w:tcW w:type="dxa" w:w="2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Security</w:t>
            </w:r>
          </w:p>
        </w:tc>
        <w:tc>
          <w:tcPr>
            <w:tcW w:type="dxa" w:w="6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 Critical  0 Warnings  29 files scanned</w:t>
            </w:r>
          </w:p>
        </w:tc>
      </w:tr>
      <w:tr>
        <w:trPr>
          <w:tblHeader w:val="false"/>
        </w:trPr>
        <w:tc>
          <w:tcPr>
            <w:tcW w:type="dxa" w:w="2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GitHub</w:t>
            </w:r>
          </w:p>
        </w:tc>
        <w:tc>
          <w:tcPr>
            <w:tcW w:type="dxa" w:w="6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https://github.com/saifeldinkhedir-coder/HydroSovereign-AI-Engine-HSAE-v601</w:t>
            </w:r>
          </w:p>
        </w:tc>
      </w:tr>
      <w:tr>
        <w:trPr>
          <w:tblHeader w:val="false"/>
        </w:trPr>
        <w:tc>
          <w:tcPr>
            <w:tcW w:type="dxa" w:w="2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DOI</w:t>
            </w:r>
          </w:p>
        </w:tc>
        <w:tc>
          <w:tcPr>
            <w:tcW w:type="dxa" w:w="6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https://doi.org/10.5281/zenodo.19180160</w:t>
            </w:r>
          </w:p>
        </w:tc>
      </w:tr>
      <w:tr>
        <w:trPr>
          <w:tblHeader w:val="false"/>
        </w:trPr>
        <w:tc>
          <w:tcPr>
            <w:tcW w:type="dxa" w:w="2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PyPI</w:t>
            </w:r>
          </w:p>
        </w:tc>
        <w:tc>
          <w:tcPr>
            <w:tcW w:type="dxa" w:w="6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pip install hydrosovereign  (v6.5.3)</w:t>
            </w:r>
          </w:p>
        </w:tc>
      </w:tr>
      <w:tr>
        <w:trPr>
          <w:tblHeader w:val="false"/>
        </w:trPr>
        <w:tc>
          <w:tcPr>
            <w:tcW w:type="dxa" w:w="2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License</w:t>
            </w:r>
          </w:p>
        </w:tc>
        <w:tc>
          <w:tcPr>
            <w:tcW w:type="dxa" w:w="6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GPL-3.0</w:t>
            </w:r>
          </w:p>
        </w:tc>
      </w:tr>
      <w:tr>
        <w:trPr>
          <w:tblHeader w:val="false"/>
        </w:trPr>
        <w:tc>
          <w:tcPr>
            <w:tcW w:type="dxa" w:w="2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SoftwareX</w:t>
            </w:r>
          </w:p>
        </w:tc>
        <w:tc>
          <w:tcPr>
            <w:tcW w:type="dxa" w:w="6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SOFTX-D-26-00442  --  Under Review 2026</w:t>
            </w:r>
          </w:p>
        </w:tc>
      </w:tr>
      <w:tr>
        <w:trPr>
          <w:tblHeader w:val="false"/>
        </w:trPr>
        <w:tc>
          <w:tcPr>
            <w:tcW w:type="dxa" w:w="2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Approved by</w:t>
            </w:r>
          </w:p>
        </w:tc>
        <w:tc>
          <w:tcPr>
            <w:tcW w:type="dxa" w:w="6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zimbogisgeek (QGIS reviewer) -- PR #289 Tim Sutton QGIS PSC</w:t>
            </w:r>
          </w:p>
        </w:tc>
      </w:tr>
    </w:tbl>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Executive Summary</w:t>
      </w:r>
    </w:p>
    <w:p>
      <w:pPr>
        <w:spacing w:after="85" w:before="0"/>
        <w:jc w:val="left"/>
      </w:pPr>
      <w:r>
        <w:rPr>
          <w:rFonts w:ascii="Arial" w:cs="Arial" w:eastAsia="Arial" w:hAnsi="Arial"/>
          <w:b w:val="false"/>
          <w:bCs w:val="false"/>
          <w:i w:val="false"/>
          <w:iCs w:val="false"/>
          <w:color w:val="1A202C"/>
          <w:sz w:val="20"/>
          <w:szCs w:val="20"/>
        </w:rPr>
        <w:t xml:space="preserve">HydroSovereign AI Engine (HSAE) v6.0.3 is the first open-source platform to automate the complete pipeline from live satellite observation to international water law compliance in under 2 minutes. Six original scientific indices, 16 QGIS tools, and an AI negotiation engine trained on 478 historical cases.</w:t>
      </w:r>
    </w:p>
    <w:p>
      <w:pPr>
        <w:spacing w:after="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800"/>
        <w:gridCol w:w="2000"/>
        <w:gridCol w:w="4200"/>
      </w:tblGrid>
      <w:tr>
        <w:trPr>
          <w:tblHeader/>
        </w:trPr>
        <w:tc>
          <w:tcPr>
            <w:tcW w:type="dxa" w:w="28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Key Metric</w:t>
            </w:r>
          </w:p>
        </w:tc>
        <w:tc>
          <w:tcPr>
            <w:tcW w:type="dxa" w:w="2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Value</w:t>
            </w:r>
          </w:p>
        </w:tc>
        <w:tc>
          <w:tcPr>
            <w:tcW w:type="dxa" w:w="42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Significance</w:t>
            </w:r>
          </w:p>
        </w:tc>
      </w:tr>
      <w:tr>
        <w:trPr>
          <w:tblHeader w:val="false"/>
        </w:trPr>
        <w:tc>
          <w:tcPr>
            <w:tcW w:type="dxa" w:w="2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ATDI (Blue Nile/GERD)</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43.5%</w:t>
            </w:r>
          </w:p>
        </w:tc>
        <w:tc>
          <w:tcPr>
            <w:tcW w:type="dxa" w:w="4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Article 7 UNWC -- No-Significant-Harm zone triggered</w:t>
            </w:r>
          </w:p>
        </w:tc>
      </w:tr>
      <w:tr>
        <w:trPr>
          <w:tblHeader w:val="false"/>
        </w:trPr>
        <w:tc>
          <w:tcPr>
            <w:tcW w:type="dxa" w:w="2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HIFD (Blue Nile/GERD)</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20.0%</w:t>
            </w:r>
          </w:p>
        </w:tc>
        <w:tc>
          <w:tcPr>
            <w:tcW w:type="dxa" w:w="4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 in 5 cubic metres of natural flow withheld</w:t>
            </w:r>
          </w:p>
        </w:tc>
      </w:tr>
      <w:tr>
        <w:trPr>
          <w:tblHeader w:val="false"/>
        </w:trPr>
        <w:tc>
          <w:tcPr>
            <w:tcW w:type="dxa" w:w="2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NSE / KGE (HBV-96)</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0.63 / 0.74</w:t>
            </w:r>
          </w:p>
        </w:tc>
        <w:tc>
          <w:tcPr>
            <w:tcW w:type="dxa" w:w="4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Satisfactory -- proxy-validated vs GloFAS ERA5 v4</w:t>
            </w:r>
          </w:p>
        </w:tc>
      </w:tr>
      <w:tr>
        <w:trPr>
          <w:tblHeader w:val="false"/>
        </w:trPr>
        <w:tc>
          <w:tcPr>
            <w:tcW w:type="dxa" w:w="2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Conflict Index (CI)</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0.44 HIGH</w:t>
            </w:r>
          </w:p>
        </w:tc>
        <w:tc>
          <w:tcPr>
            <w:tcW w:type="dxa" w:w="4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Elevated risk -- diplomatic intervention indicated</w:t>
            </w:r>
          </w:p>
        </w:tc>
      </w:tr>
      <w:tr>
        <w:trPr>
          <w:tblHeader w:val="false"/>
        </w:trPr>
        <w:tc>
          <w:tcPr>
            <w:tcW w:type="dxa" w:w="2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P(Negotiation)</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58%</w:t>
            </w:r>
          </w:p>
        </w:tc>
        <w:tc>
          <w:tcPr>
            <w:tcW w:type="dxa" w:w="4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Article 17 Mediation recommended</w:t>
            </w:r>
          </w:p>
        </w:tc>
      </w:tr>
      <w:tr>
        <w:trPr>
          <w:tblHeader w:val="false"/>
        </w:trPr>
        <w:tc>
          <w:tcPr>
            <w:tcW w:type="dxa" w:w="2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ATCI</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70%</w:t>
            </w:r>
          </w:p>
        </w:tc>
        <w:tc>
          <w:tcPr>
            <w:tcW w:type="dxa" w:w="4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 of 10 UNWC 1997 articles triggered</w:t>
            </w:r>
          </w:p>
        </w:tc>
      </w:tr>
      <w:tr>
        <w:trPr>
          <w:tblHeader w:val="false"/>
        </w:trPr>
        <w:tc>
          <w:tcPr>
            <w:tcW w:type="dxa" w:w="2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Security</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 Critical</w:t>
            </w:r>
          </w:p>
        </w:tc>
        <w:tc>
          <w:tcPr>
            <w:tcW w:type="dxa" w:w="4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QGIS PSC-approved -- Plugin ID 5040</w:t>
            </w:r>
          </w:p>
        </w:tc>
      </w:tr>
      <w:tr>
        <w:trPr>
          <w:tblHeader w:val="false"/>
        </w:trPr>
        <w:tc>
          <w:tcPr>
            <w:tcW w:type="dxa" w:w="2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Basins covered</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26</w:t>
            </w:r>
          </w:p>
        </w:tc>
        <w:tc>
          <w:tcPr>
            <w:tcW w:type="dxa" w:w="4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 world regions</w:t>
            </w:r>
          </w:p>
        </w:tc>
      </w:tr>
      <w:tr>
        <w:trPr>
          <w:tblHeader w:val="false"/>
        </w:trPr>
        <w:tc>
          <w:tcPr>
            <w:tcW w:type="dxa" w:w="2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GEE sensors</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9+</w:t>
            </w:r>
          </w:p>
        </w:tc>
        <w:tc>
          <w:tcPr>
            <w:tcW w:type="dxa" w:w="4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GPM, GRACE-FO, SMAP, Sentinel-1/2, ERA5, Open-Meteo, MODIS, VIIRS</w:t>
            </w:r>
          </w:p>
        </w:tc>
      </w:tr>
    </w:tbl>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Document Revision History</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700"/>
        <w:gridCol w:w="1300"/>
        <w:gridCol w:w="7000"/>
      </w:tblGrid>
      <w:tr>
        <w:trPr>
          <w:tblHeader/>
        </w:trPr>
        <w:tc>
          <w:tcPr>
            <w:tcW w:type="dxa" w:w="7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Version</w:t>
            </w:r>
          </w:p>
        </w:tc>
        <w:tc>
          <w:tcPr>
            <w:tcW w:type="dxa" w:w="13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Date</w:t>
            </w:r>
          </w:p>
        </w:tc>
        <w:tc>
          <w:tcPr>
            <w:tcW w:type="dxa" w:w="7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Changes</w:t>
            </w:r>
          </w:p>
        </w:tc>
      </w:tr>
      <w:tr>
        <w:trPr>
          <w:tblHeader w:val="false"/>
        </w:trPr>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1.0</w:t>
            </w:r>
          </w:p>
        </w:tc>
        <w:tc>
          <w:tcPr>
            <w:tcW w:type="dxa" w:w="13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March 2026</w:t>
            </w:r>
          </w:p>
        </w:tc>
        <w:tc>
          <w:tcPr>
            <w:tcW w:type="dxa" w:w="7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Initial draft -- 10 chapters, 13 tools</w:t>
            </w:r>
          </w:p>
        </w:tc>
      </w:tr>
      <w:tr>
        <w:trPr>
          <w:tblHeader w:val="false"/>
        </w:trPr>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w:t>
            </w:r>
          </w:p>
        </w:tc>
        <w:tc>
          <w:tcPr>
            <w:tcW w:type="dxa" w:w="13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April 16</w:t>
            </w:r>
          </w:p>
        </w:tc>
        <w:tc>
          <w:tcPr>
            <w:tcW w:type="dxa" w:w="7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All 13 tools, 5 algorithms, PR #289 approved</w:t>
            </w:r>
          </w:p>
        </w:tc>
      </w:tr>
      <w:tr>
        <w:trPr>
          <w:tblHeader w:val="false"/>
        </w:trPr>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3.0</w:t>
            </w:r>
          </w:p>
        </w:tc>
        <w:tc>
          <w:tcPr>
            <w:tcW w:type="dxa" w:w="13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April 21</w:t>
            </w:r>
          </w:p>
        </w:tc>
        <w:tc>
          <w:tcPr>
            <w:tcW w:type="dxa" w:w="7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Official publication ID 5040; 0 Critical security; 21+ downloads day one</w:t>
            </w:r>
          </w:p>
        </w:tc>
      </w:tr>
      <w:tr>
        <w:trPr>
          <w:tblHeader w:val="false"/>
        </w:trPr>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4.0</w:t>
            </w:r>
          </w:p>
        </w:tc>
        <w:tc>
          <w:tcPr>
            <w:tcW w:type="dxa" w:w="13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April 22</w:t>
            </w:r>
          </w:p>
        </w:tc>
        <w:tc>
          <w:tcPr>
            <w:tcW w:type="dxa" w:w="7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Ch.11 QGIS Desktop workflow (13 tools, 5 algorithms)</w:t>
            </w:r>
          </w:p>
        </w:tc>
      </w:tr>
      <w:tr>
        <w:trPr>
          <w:tblHeader w:val="false"/>
        </w:trPr>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5.0</w:t>
            </w:r>
          </w:p>
        </w:tc>
        <w:tc>
          <w:tcPr>
            <w:tcW w:type="dxa" w:w="13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April 24</w:t>
            </w:r>
          </w:p>
        </w:tc>
        <w:tc>
          <w:tcPr>
            <w:tcW w:type="dxa" w:w="7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Complete edition: Quick Reference, Workflow Diagram, Mekong, Model Builder, Python API, Index</w:t>
            </w:r>
          </w:p>
        </w:tc>
      </w:tr>
      <w:tr>
        <w:trPr>
          <w:tblHeader w:val="false"/>
        </w:trPr>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6.0</w:t>
            </w:r>
          </w:p>
        </w:tc>
        <w:tc>
          <w:tcPr>
            <w:tcW w:type="dxa" w:w="13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April 24</w:t>
            </w:r>
          </w:p>
        </w:tc>
        <w:tc>
          <w:tcPr>
            <w:tcW w:type="dxa" w:w="7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v6.0.3: Tools 14/15/16, Executive Summary, Equations Index, Error Codes, Legal Disclaimers, Changelog, Arabic Quick Start, all Ch.11 sections restored, XML schema fixed (OOXML border order)</w:t>
            </w:r>
          </w:p>
        </w:tc>
      </w:tr>
    </w:tbl>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Table of Contents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7500"/>
        <w:gridCol w:w="1500"/>
      </w:tblGrid>
      <w:tr>
        <w:trPr>
          <w:tblHeader/>
        </w:trPr>
        <w:tc>
          <w:tcPr>
            <w:tcW w:type="dxa" w:w="7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Section</w:t>
            </w:r>
          </w:p>
        </w:tc>
        <w:tc>
          <w:tcPr>
            <w:tcW w:type="dxa" w:w="1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Page</w:t>
            </w:r>
          </w:p>
        </w:tc>
      </w:tr>
      <w:tr>
        <w:trPr>
          <w:tblHeader w:val="false"/>
        </w:trPr>
        <w:tc>
          <w:tcPr>
            <w:tcW w:type="dxa" w:w="7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Executive Summary</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w:t>
            </w:r>
          </w:p>
        </w:tc>
      </w:tr>
      <w:tr>
        <w:trPr>
          <w:tblHeader w:val="false"/>
        </w:trPr>
        <w:tc>
          <w:tcPr>
            <w:tcW w:type="dxa" w:w="7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Quick Start -- 5-Minute Tutorial</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w:t>
            </w:r>
          </w:p>
        </w:tc>
      </w:tr>
      <w:tr>
        <w:trPr>
          <w:tblHeader w:val="false"/>
        </w:trPr>
        <w:tc>
          <w:tcPr>
            <w:tcW w:type="dxa" w:w="7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Arabic Quick Start [NEW]</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w:t>
            </w:r>
          </w:p>
        </w:tc>
      </w:tr>
      <w:tr>
        <w:trPr>
          <w:tblHeader w:val="false"/>
        </w:trPr>
        <w:tc>
          <w:tcPr>
            <w:tcW w:type="dxa" w:w="7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  1  Overview &amp; Introduction</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w:t>
            </w:r>
          </w:p>
        </w:tc>
      </w:tr>
      <w:tr>
        <w:trPr>
          <w:tblHeader w:val="false"/>
        </w:trPr>
        <w:tc>
          <w:tcPr>
            <w:tcW w:type="dxa" w:w="7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  2  Installation &amp; Requirements</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w:t>
            </w:r>
          </w:p>
        </w:tc>
      </w:tr>
      <w:tr>
        <w:trPr>
          <w:tblHeader w:val="false"/>
        </w:trPr>
        <w:tc>
          <w:tcPr>
            <w:tcW w:type="dxa" w:w="7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  3  Interface Overview</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9</w:t>
            </w:r>
          </w:p>
        </w:tc>
      </w:tr>
      <w:tr>
        <w:trPr>
          <w:tblHeader w:val="false"/>
        </w:trPr>
        <w:tc>
          <w:tcPr>
            <w:tcW w:type="dxa" w:w="7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  4  Complete Tool Reference (16 Tools)</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10</w:t>
            </w:r>
          </w:p>
        </w:tc>
      </w:tr>
      <w:tr>
        <w:trPr>
          <w:tblHeader w:val="false"/>
        </w:trPr>
        <w:tc>
          <w:tcPr>
            <w:tcW w:type="dxa" w:w="7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  Tools 1-13: Core Tools</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10</w:t>
            </w:r>
          </w:p>
        </w:tc>
      </w:tr>
      <w:tr>
        <w:trPr>
          <w:tblHeader w:val="false"/>
        </w:trPr>
        <w:tc>
          <w:tcPr>
            <w:tcW w:type="dxa" w:w="7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  Tool 14 -- Basin Risk Map (Leaflet inside QGIS) [NEW]</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18</w:t>
            </w:r>
          </w:p>
        </w:tc>
      </w:tr>
      <w:tr>
        <w:trPr>
          <w:tblHeader w:val="false"/>
        </w:trPr>
        <w:tc>
          <w:tcPr>
            <w:tcW w:type="dxa" w:w="7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  Tool 15 -- Uncertainty &amp; Sensitivity Analysis [NEW]</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w:t>
            </w:r>
          </w:p>
        </w:tc>
      </w:tr>
      <w:tr>
        <w:trPr>
          <w:tblHeader w:val="false"/>
        </w:trPr>
        <w:tc>
          <w:tcPr>
            <w:tcW w:type="dxa" w:w="7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  Tool 16 -- Treaty Analysis (ATCI) [NEW]</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22</w:t>
            </w:r>
          </w:p>
        </w:tc>
      </w:tr>
      <w:tr>
        <w:trPr>
          <w:tblHeader w:val="false"/>
        </w:trPr>
        <w:tc>
          <w:tcPr>
            <w:tcW w:type="dxa" w:w="7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  5  Processing Toolbox Algorithms (5)</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24</w:t>
            </w:r>
          </w:p>
        </w:tc>
      </w:tr>
      <w:tr>
        <w:trPr>
          <w:tblHeader w:val="false"/>
        </w:trPr>
        <w:tc>
          <w:tcPr>
            <w:tcW w:type="dxa" w:w="7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  6  The 26 Registered Basins</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28</w:t>
            </w:r>
          </w:p>
        </w:tc>
      </w:tr>
      <w:tr>
        <w:trPr>
          <w:tblHeader w:val="false"/>
        </w:trPr>
        <w:tc>
          <w:tcPr>
            <w:tcW w:type="dxa" w:w="7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  7  Scientific Indices + Equations Index [NEW]</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30</w:t>
            </w:r>
          </w:p>
        </w:tc>
      </w:tr>
      <w:tr>
        <w:trPr>
          <w:tblHeader w:val="false"/>
        </w:trPr>
        <w:tc>
          <w:tcPr>
            <w:tcW w:type="dxa" w:w="7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  8  Google Earth Engine Data Sources (9 sensors)</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33</w:t>
            </w:r>
          </w:p>
        </w:tc>
      </w:tr>
      <w:tr>
        <w:trPr>
          <w:tblHeader w:val="false"/>
        </w:trPr>
        <w:tc>
          <w:tcPr>
            <w:tcW w:type="dxa" w:w="7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  9  Troubleshooting + Error Code Reference [NEW]</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34</w:t>
            </w:r>
          </w:p>
        </w:tc>
      </w:tr>
      <w:tr>
        <w:trPr>
          <w:tblHeader w:val="false"/>
        </w:trPr>
        <w:tc>
          <w:tcPr>
            <w:tcW w:type="dxa" w:w="7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 10  Citation &amp; References</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37</w:t>
            </w:r>
          </w:p>
        </w:tc>
      </w:tr>
      <w:tr>
        <w:trPr>
          <w:tblHeader w:val="false"/>
        </w:trPr>
        <w:tc>
          <w:tcPr>
            <w:tcW w:type="dxa" w:w="7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 11  QGIS Desktop Step-by-Step Workflow (19 steps)</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38</w:t>
            </w:r>
          </w:p>
        </w:tc>
      </w:tr>
      <w:tr>
        <w:trPr>
          <w:tblHeader w:val="false"/>
        </w:trPr>
        <w:tc>
          <w:tcPr>
            <w:tcW w:type="dxa" w:w="7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  11.1  Pre-Flight Checklist</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38</w:t>
            </w:r>
          </w:p>
        </w:tc>
      </w:tr>
      <w:tr>
        <w:trPr>
          <w:tblHeader w:val="false"/>
        </w:trPr>
        <w:tc>
          <w:tcPr>
            <w:tcW w:type="dxa" w:w="7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  11.2  Launching QGIS &amp; Activating Plugin</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39</w:t>
            </w:r>
          </w:p>
        </w:tc>
      </w:tr>
      <w:tr>
        <w:trPr>
          <w:tblHeader w:val="false"/>
        </w:trPr>
        <w:tc>
          <w:tcPr>
            <w:tcW w:type="dxa" w:w="7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  11.3  Complete 16-Tool Workflow Step-by-Step</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40</w:t>
            </w:r>
          </w:p>
        </w:tc>
      </w:tr>
      <w:tr>
        <w:trPr>
          <w:tblHeader w:val="false"/>
        </w:trPr>
        <w:tc>
          <w:tcPr>
            <w:tcW w:type="dxa" w:w="7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  11.4  Processing Algorithms Step-by-Step</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54</w:t>
            </w:r>
          </w:p>
        </w:tc>
      </w:tr>
      <w:tr>
        <w:trPr>
          <w:tblHeader w:val="false"/>
        </w:trPr>
        <w:tc>
          <w:tcPr>
            <w:tcW w:type="dxa" w:w="7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  11.5  Complete Workflow Summary (Blue Nile 19 steps)</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56</w:t>
            </w:r>
          </w:p>
        </w:tc>
      </w:tr>
      <w:tr>
        <w:trPr>
          <w:tblHeader w:val="false"/>
        </w:trPr>
        <w:tc>
          <w:tcPr>
            <w:tcW w:type="dxa" w:w="7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  11.6  Expected Output Files (folder tree)</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57</w:t>
            </w:r>
          </w:p>
        </w:tc>
      </w:tr>
      <w:tr>
        <w:trPr>
          <w:tblHeader w:val="false"/>
        </w:trPr>
        <w:tc>
          <w:tcPr>
            <w:tcW w:type="dxa" w:w="7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  11.7  QGIS Keyboard Shortcuts</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58</w:t>
            </w:r>
          </w:p>
        </w:tc>
      </w:tr>
      <w:tr>
        <w:trPr>
          <w:tblHeader w:val="false"/>
        </w:trPr>
        <w:tc>
          <w:tcPr>
            <w:tcW w:type="dxa" w:w="7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  11.8  Working with Results (Print Layout, Filter, Join)</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58</w:t>
            </w:r>
          </w:p>
        </w:tc>
      </w:tr>
      <w:tr>
        <w:trPr>
          <w:tblHeader w:val="false"/>
        </w:trPr>
        <w:tc>
          <w:tcPr>
            <w:tcW w:type="dxa" w:w="7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  11.9  Common Desktop Errors &amp; Solutions</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59</w:t>
            </w:r>
          </w:p>
        </w:tc>
      </w:tr>
      <w:tr>
        <w:trPr>
          <w:tblHeader w:val="false"/>
        </w:trPr>
        <w:tc>
          <w:tcPr>
            <w:tcW w:type="dxa" w:w="7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 12  Advanced Features</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60</w:t>
            </w:r>
          </w:p>
        </w:tc>
      </w:tr>
      <w:tr>
        <w:trPr>
          <w:tblHeader w:val="false"/>
        </w:trPr>
        <w:tc>
          <w:tcPr>
            <w:tcW w:type="dxa" w:w="7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  12.1  Model Builder Integration</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60</w:t>
            </w:r>
          </w:p>
        </w:tc>
      </w:tr>
      <w:tr>
        <w:trPr>
          <w:tblHeader w:val="false"/>
        </w:trPr>
        <w:tc>
          <w:tcPr>
            <w:tcW w:type="dxa" w:w="7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  12.2  Batch Processing (26 Basins)</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61</w:t>
            </w:r>
          </w:p>
        </w:tc>
      </w:tr>
      <w:tr>
        <w:trPr>
          <w:tblHeader w:val="false"/>
        </w:trPr>
        <w:tc>
          <w:tcPr>
            <w:tcW w:type="dxa" w:w="7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  12.3  Adding a New Basin</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62</w:t>
            </w:r>
          </w:p>
        </w:tc>
      </w:tr>
      <w:tr>
        <w:trPr>
          <w:tblHeader w:val="false"/>
        </w:trPr>
        <w:tc>
          <w:tcPr>
            <w:tcW w:type="dxa" w:w="7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  12.4  Python API Integration (Full Examples)</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63</w:t>
            </w:r>
          </w:p>
        </w:tc>
      </w:tr>
      <w:tr>
        <w:trPr>
          <w:tblHeader w:val="false"/>
        </w:trPr>
        <w:tc>
          <w:tcPr>
            <w:tcW w:type="dxa" w:w="7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  12.5  QGIS Python Console Integration</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66</w:t>
            </w:r>
          </w:p>
        </w:tc>
      </w:tr>
      <w:tr>
        <w:trPr>
          <w:tblHeader w:val="false"/>
        </w:trPr>
        <w:tc>
          <w:tcPr>
            <w:tcW w:type="dxa" w:w="7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 13  Case Study 2: Mekong River Basin</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67</w:t>
            </w:r>
          </w:p>
        </w:tc>
      </w:tr>
      <w:tr>
        <w:trPr>
          <w:tblHeader w:val="false"/>
        </w:trPr>
        <w:tc>
          <w:tcPr>
            <w:tcW w:type="dxa" w:w="7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 14  v6.0.3 Version Changelog &amp; Timeline [NEW]</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72</w:t>
            </w:r>
          </w:p>
        </w:tc>
      </w:tr>
      <w:tr>
        <w:trPr>
          <w:tblHeader w:val="false"/>
        </w:trPr>
        <w:tc>
          <w:tcPr>
            <w:tcW w:type="dxa" w:w="7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 15  Legal Disclaimers &amp; Data Limitations [NEW]</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73</w:t>
            </w:r>
          </w:p>
        </w:tc>
      </w:tr>
      <w:tr>
        <w:trPr>
          <w:tblHeader w:val="false"/>
        </w:trPr>
        <w:tc>
          <w:tcPr>
            <w:tcW w:type="dxa" w:w="7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Appendix A  Glossary (24 terms)</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74</w:t>
            </w:r>
          </w:p>
        </w:tc>
      </w:tr>
      <w:tr>
        <w:trPr>
          <w:tblHeader w:val="false"/>
        </w:trPr>
        <w:tc>
          <w:tcPr>
            <w:tcW w:type="dxa" w:w="7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Appendix B  All Links &amp; Resources</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75</w:t>
            </w:r>
          </w:p>
        </w:tc>
      </w:tr>
      <w:tr>
        <w:trPr>
          <w:tblHeader w:val="false"/>
        </w:trPr>
        <w:tc>
          <w:tcPr>
            <w:tcW w:type="dxa" w:w="7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Appendix C  Quick Reference Card (Print-Ready A5)</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76</w:t>
            </w:r>
          </w:p>
        </w:tc>
      </w:tr>
      <w:tr>
        <w:trPr>
          <w:tblHeader w:val="false"/>
        </w:trPr>
        <w:tc>
          <w:tcPr>
            <w:tcW w:type="dxa" w:w="7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Appendix D  HSAE Workflow Diagram</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77</w:t>
            </w:r>
          </w:p>
        </w:tc>
      </w:tr>
      <w:tr>
        <w:trPr>
          <w:tblHeader w:val="false"/>
        </w:trPr>
        <w:tc>
          <w:tcPr>
            <w:tcW w:type="dxa" w:w="7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Appendix E  Keyword Index (47 terms)</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78</w:t>
            </w:r>
          </w:p>
        </w:tc>
      </w:tr>
    </w:tbl>
    <w:p>
      <w:pPr>
        <w:spacing w:after="80"/>
      </w:pPr>
      <w:r>
        <w:t xml:space="preserve"/>
      </w:r>
    </w:p>
    <w:p>
      <w:pPr>
        <w:pStyle w:val="Heading1"/>
        <w:pageBreakBefore/>
        <w:pBdr>
          <w:bottom w:val="single" w:color="0E6B6A" w:sz="6"/>
        </w:pBdr>
        <w:shd w:fill="061F4A" w:val="clear"/>
        <w:spacing w:after="200" w:before="0"/>
        <w:ind w:left="260"/>
      </w:pPr>
      <w:r>
        <w:rPr>
          <w:rFonts w:ascii="Arial" w:cs="Arial" w:eastAsia="Arial" w:hAnsi="Arial"/>
          <w:b/>
          <w:bCs/>
          <w:i w:val="false"/>
          <w:iCs w:val="false"/>
          <w:color w:val="FFFFFF"/>
          <w:sz w:val="28"/>
          <w:szCs w:val="28"/>
        </w:rPr>
        <w:t xml:space="preserve">Quick Start -- 5-Minute Tutorial</w:t>
      </w:r>
    </w:p>
    <w:p>
      <w:pPr>
        <w:spacing w:after="85" w:before="0"/>
        <w:jc w:val="left"/>
      </w:pPr>
      <w:r>
        <w:rPr>
          <w:rFonts w:ascii="Arial" w:cs="Arial" w:eastAsia="Arial" w:hAnsi="Arial"/>
          <w:b w:val="false"/>
          <w:bCs w:val="false"/>
          <w:i w:val="false"/>
          <w:iCs w:val="false"/>
          <w:color w:val="1A202C"/>
          <w:sz w:val="20"/>
          <w:szCs w:val="20"/>
        </w:rPr>
        <w:t xml:space="preserve">Install HSAE v6.0.3 and run your first complete Blue Nile basin analysis in under 5 minutes.</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Step 1 -- Install (1 minute)</w:t>
      </w:r>
    </w:p>
    <w:p>
      <w:pPr>
        <w:pStyle w:val="ListParagraph"/>
        <w:numPr>
          <w:ilvl w:val="0"/>
          <w:numId w:val="2"/>
        </w:numPr>
        <w:spacing w:after="60"/>
      </w:pPr>
      <w:r>
        <w:rPr>
          <w:rFonts w:ascii="Arial" w:cs="Arial" w:eastAsia="Arial" w:hAnsi="Arial"/>
          <w:b w:val="false"/>
          <w:bCs w:val="false"/>
          <w:i w:val="false"/>
          <w:iCs w:val="false"/>
          <w:color w:val="1A202C"/>
          <w:sz w:val="20"/>
          <w:szCs w:val="20"/>
        </w:rPr>
        <w:t xml:space="preserve">QGIS --&gt; Plugins --&gt; Manage and Install Plugins</w:t>
      </w:r>
    </w:p>
    <w:p>
      <w:pPr>
        <w:pStyle w:val="ListParagraph"/>
        <w:numPr>
          <w:ilvl w:val="0"/>
          <w:numId w:val="2"/>
        </w:numPr>
        <w:spacing w:after="60"/>
      </w:pPr>
      <w:r>
        <w:rPr>
          <w:rFonts w:ascii="Arial" w:cs="Arial" w:eastAsia="Arial" w:hAnsi="Arial"/>
          <w:b w:val="false"/>
          <w:bCs w:val="false"/>
          <w:i w:val="false"/>
          <w:iCs w:val="false"/>
          <w:color w:val="1A202C"/>
          <w:sz w:val="20"/>
          <w:szCs w:val="20"/>
        </w:rPr>
        <w:t xml:space="preserve">Search: HydroSovereign --&gt; Install Plugin</w:t>
      </w:r>
    </w:p>
    <w:p>
      <w:pPr>
        <w:pStyle w:val="ListParagraph"/>
        <w:numPr>
          <w:ilvl w:val="0"/>
          <w:numId w:val="2"/>
        </w:numPr>
        <w:spacing w:after="60"/>
      </w:pPr>
      <w:r>
        <w:rPr>
          <w:rFonts w:ascii="Arial" w:cs="Arial" w:eastAsia="Arial" w:hAnsi="Arial"/>
          <w:b/>
          <w:bCs/>
          <w:i w:val="false"/>
          <w:iCs w:val="false"/>
          <w:color w:val="061F4A"/>
          <w:sz w:val="20"/>
          <w:szCs w:val="20"/>
        </w:rPr>
        <w:t xml:space="preserve">Direct: </w:t>
      </w:r>
      <w:r>
        <w:rPr>
          <w:rFonts w:ascii="Courier New" w:cs="Courier New" w:eastAsia="Courier New" w:hAnsi="Courier New"/>
          <w:b w:val="false"/>
          <w:bCs w:val="false"/>
          <w:i w:val="false"/>
          <w:iCs w:val="false"/>
          <w:color w:val="1A365D"/>
          <w:sz w:val="18"/>
          <w:szCs w:val="18"/>
        </w:rPr>
        <w:t xml:space="preserve">https://plugins.qgis.org/plugins/hsae_qgis/</w:t>
      </w:r>
    </w:p>
    <w:p>
      <w:pPr>
        <w:pStyle w:val="ListParagraph"/>
        <w:numPr>
          <w:ilvl w:val="0"/>
          <w:numId w:val="2"/>
        </w:numPr>
        <w:spacing w:after="60"/>
      </w:pPr>
      <w:r>
        <w:rPr>
          <w:rFonts w:ascii="Arial" w:cs="Arial" w:eastAsia="Arial" w:hAnsi="Arial"/>
          <w:b w:val="false"/>
          <w:bCs w:val="false"/>
          <w:i w:val="false"/>
          <w:iCs w:val="false"/>
          <w:color w:val="1A202C"/>
          <w:sz w:val="20"/>
          <w:szCs w:val="20"/>
        </w:rPr>
        <w:t xml:space="preserve">HSAE toolbar appears immediately -- no restart needed</w:t>
      </w:r>
    </w:p>
    <w:p>
      <w:pPr>
        <w:pBdr>
          <w:top w:val="nil"/>
          <w:left w:val="thick" w:color="276749" w:sz="18"/>
          <w:bottom w:val="nil"/>
          <w:right w:val="nil"/>
        </w:pBdr>
        <w:shd w:fill="F0FFF4" w:val="clear"/>
        <w:spacing w:after="60" w:before="60"/>
        <w:ind w:left="280"/>
        <w:jc w:val="left"/>
      </w:pPr>
      <w:r>
        <w:rPr>
          <w:rFonts w:ascii="Arial" w:cs="Arial" w:eastAsia="Arial" w:hAnsi="Arial"/>
          <w:b w:val="false"/>
          <w:bCs w:val="false"/>
          <w:i w:val="false"/>
          <w:iCs w:val="false"/>
          <w:color w:val="1C4532"/>
          <w:sz w:val="19"/>
          <w:szCs w:val="19"/>
        </w:rPr>
        <w:t xml:space="preserve">OK:     Plugin ID: 5040 -- Security: 0 Critical -- Approved April 21, 2026</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Step 2 -- Load Basins (10 sec)</w:t>
      </w:r>
    </w:p>
    <w:p>
      <w:pPr>
        <w:pStyle w:val="ListParagraph"/>
        <w:numPr>
          <w:ilvl w:val="0"/>
          <w:numId w:val="2"/>
        </w:numPr>
        <w:spacing w:after="60"/>
      </w:pPr>
      <w:r>
        <w:rPr>
          <w:rFonts w:ascii="Arial" w:cs="Arial" w:eastAsia="Arial" w:hAnsi="Arial"/>
          <w:b w:val="false"/>
          <w:bCs w:val="false"/>
          <w:i w:val="false"/>
          <w:iCs w:val="false"/>
          <w:color w:val="1A202C"/>
          <w:sz w:val="20"/>
          <w:szCs w:val="20"/>
        </w:rPr>
        <w:t xml:space="preserve">Click toolbar button 1 (Load Basin Registry)</w:t>
      </w:r>
    </w:p>
    <w:p>
      <w:pPr>
        <w:pStyle w:val="ListParagraph"/>
        <w:numPr>
          <w:ilvl w:val="0"/>
          <w:numId w:val="2"/>
        </w:numPr>
        <w:spacing w:after="60"/>
      </w:pPr>
      <w:r>
        <w:rPr>
          <w:rFonts w:ascii="Arial" w:cs="Arial" w:eastAsia="Arial" w:hAnsi="Arial"/>
          <w:b w:val="false"/>
          <w:bCs w:val="false"/>
          <w:i w:val="false"/>
          <w:iCs w:val="false"/>
          <w:color w:val="1A202C"/>
          <w:sz w:val="20"/>
          <w:szCs w:val="20"/>
        </w:rPr>
        <w:t xml:space="preserve">26 basin points appear on world map</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Step 3 -- Apply Risk Colours (5 sec)</w:t>
      </w:r>
    </w:p>
    <w:p>
      <w:pPr>
        <w:pStyle w:val="ListParagraph"/>
        <w:numPr>
          <w:ilvl w:val="0"/>
          <w:numId w:val="2"/>
        </w:numPr>
        <w:spacing w:after="60"/>
      </w:pPr>
      <w:r>
        <w:rPr>
          <w:rFonts w:ascii="Arial" w:cs="Arial" w:eastAsia="Arial" w:hAnsi="Arial"/>
          <w:b w:val="false"/>
          <w:bCs w:val="false"/>
          <w:i w:val="false"/>
          <w:iCs w:val="false"/>
          <w:color w:val="1A202C"/>
          <w:sz w:val="20"/>
          <w:szCs w:val="20"/>
        </w:rPr>
        <w:t xml:space="preserve">Single-click 'HSAE Basin Registry' in Layers panel</w:t>
      </w:r>
    </w:p>
    <w:p>
      <w:pPr>
        <w:pStyle w:val="ListParagraph"/>
        <w:numPr>
          <w:ilvl w:val="0"/>
          <w:numId w:val="2"/>
        </w:numPr>
        <w:spacing w:after="60"/>
      </w:pPr>
      <w:r>
        <w:rPr>
          <w:rFonts w:ascii="Arial" w:cs="Arial" w:eastAsia="Arial" w:hAnsi="Arial"/>
          <w:b w:val="false"/>
          <w:bCs w:val="false"/>
          <w:i w:val="false"/>
          <w:iCs w:val="false"/>
          <w:color w:val="1A202C"/>
          <w:sz w:val="20"/>
          <w:szCs w:val="20"/>
        </w:rPr>
        <w:t xml:space="preserve">Click toolbar button 2 (ATDI Visualiser)</w:t>
      </w:r>
    </w:p>
    <w:p>
      <w:pPr>
        <w:pStyle w:val="ListParagraph"/>
        <w:numPr>
          <w:ilvl w:val="0"/>
          <w:numId w:val="2"/>
        </w:numPr>
        <w:spacing w:after="60"/>
      </w:pPr>
      <w:r>
        <w:rPr>
          <w:rFonts w:ascii="Arial" w:cs="Arial" w:eastAsia="Arial" w:hAnsi="Arial"/>
          <w:b w:val="false"/>
          <w:bCs w:val="false"/>
          <w:i w:val="false"/>
          <w:iCs w:val="false"/>
          <w:color w:val="1A202C"/>
          <w:sz w:val="20"/>
          <w:szCs w:val="20"/>
        </w:rPr>
        <w:t xml:space="preserve">Basins recolour: Green=safe, Yellow=Art.7, Orange=Art.9, Red=Art.33</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Step 4 -- Open Interactive Map [NEW v6.0.3] (5 sec)</w:t>
      </w:r>
    </w:p>
    <w:p>
      <w:pPr>
        <w:pStyle w:val="ListParagraph"/>
        <w:numPr>
          <w:ilvl w:val="0"/>
          <w:numId w:val="2"/>
        </w:numPr>
        <w:spacing w:after="60"/>
      </w:pPr>
      <w:r>
        <w:rPr>
          <w:rFonts w:ascii="Arial" w:cs="Arial" w:eastAsia="Arial" w:hAnsi="Arial"/>
          <w:b w:val="false"/>
          <w:bCs w:val="false"/>
          <w:i w:val="false"/>
          <w:iCs w:val="false"/>
          <w:color w:val="1A202C"/>
          <w:sz w:val="20"/>
          <w:szCs w:val="20"/>
        </w:rPr>
        <w:t xml:space="preserve">Menu --&gt; HydroSovereign AI Engine v6.0.3 --&gt; Basin Risk Map</w:t>
      </w:r>
    </w:p>
    <w:p>
      <w:pPr>
        <w:pStyle w:val="ListParagraph"/>
        <w:numPr>
          <w:ilvl w:val="0"/>
          <w:numId w:val="2"/>
        </w:numPr>
        <w:spacing w:after="60"/>
      </w:pPr>
      <w:r>
        <w:rPr>
          <w:rFonts w:ascii="Arial" w:cs="Arial" w:eastAsia="Arial" w:hAnsi="Arial"/>
          <w:b w:val="false"/>
          <w:bCs w:val="false"/>
          <w:i w:val="false"/>
          <w:iCs w:val="false"/>
          <w:color w:val="1A202C"/>
          <w:sz w:val="20"/>
          <w:szCs w:val="20"/>
        </w:rPr>
        <w:t xml:space="preserve">Interactive Leaflet.js map opens inside QGIS Desktop</w:t>
      </w:r>
    </w:p>
    <w:p>
      <w:pPr>
        <w:pStyle w:val="ListParagraph"/>
        <w:numPr>
          <w:ilvl w:val="0"/>
          <w:numId w:val="2"/>
        </w:numPr>
        <w:spacing w:after="60"/>
      </w:pPr>
      <w:r>
        <w:rPr>
          <w:rFonts w:ascii="Arial" w:cs="Arial" w:eastAsia="Arial" w:hAnsi="Arial"/>
          <w:b w:val="false"/>
          <w:bCs w:val="false"/>
          <w:i w:val="false"/>
          <w:iCs w:val="false"/>
          <w:color w:val="1A202C"/>
          <w:sz w:val="20"/>
          <w:szCs w:val="20"/>
        </w:rPr>
        <w:t xml:space="preserve">Click any basin --&gt; full ATDI/HIFD/CI popup card</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Step 5 -- View Dashboard (30 sec)</w:t>
      </w:r>
    </w:p>
    <w:p>
      <w:pPr>
        <w:pStyle w:val="ListParagraph"/>
        <w:numPr>
          <w:ilvl w:val="0"/>
          <w:numId w:val="2"/>
        </w:numPr>
        <w:spacing w:after="60"/>
      </w:pPr>
      <w:r>
        <w:rPr>
          <w:rFonts w:ascii="Arial" w:cs="Arial" w:eastAsia="Arial" w:hAnsi="Arial"/>
          <w:b w:val="false"/>
          <w:bCs w:val="false"/>
          <w:i w:val="false"/>
          <w:iCs w:val="false"/>
          <w:color w:val="1A202C"/>
          <w:sz w:val="20"/>
          <w:szCs w:val="20"/>
        </w:rPr>
        <w:t xml:space="preserve">Click toolbar button 6 (Dashboard Dialog)</w:t>
      </w:r>
    </w:p>
    <w:p>
      <w:pPr>
        <w:pStyle w:val="ListParagraph"/>
        <w:numPr>
          <w:ilvl w:val="0"/>
          <w:numId w:val="2"/>
        </w:numPr>
        <w:spacing w:after="60"/>
      </w:pPr>
      <w:r>
        <w:rPr>
          <w:rFonts w:ascii="Arial" w:cs="Arial" w:eastAsia="Arial" w:hAnsi="Arial"/>
          <w:b w:val="false"/>
          <w:bCs w:val="false"/>
          <w:i w:val="false"/>
          <w:iCs w:val="false"/>
          <w:color w:val="1A202C"/>
          <w:sz w:val="20"/>
          <w:szCs w:val="20"/>
        </w:rPr>
        <w:t xml:space="preserve">Select: 'Blue Nile (GERD)' --&gt; review all indices</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Step 6 -- Export Dossier (30 sec)</w:t>
      </w:r>
    </w:p>
    <w:p>
      <w:pPr>
        <w:pStyle w:val="ListParagraph"/>
        <w:numPr>
          <w:ilvl w:val="0"/>
          <w:numId w:val="2"/>
        </w:numPr>
        <w:spacing w:after="60"/>
      </w:pPr>
      <w:r>
        <w:rPr>
          <w:rFonts w:ascii="Arial" w:cs="Arial" w:eastAsia="Arial" w:hAnsi="Arial"/>
          <w:b w:val="false"/>
          <w:bCs w:val="false"/>
          <w:i w:val="false"/>
          <w:iCs w:val="false"/>
          <w:color w:val="1A202C"/>
          <w:sz w:val="20"/>
          <w:szCs w:val="20"/>
        </w:rPr>
        <w:t xml:space="preserve">Menu --&gt; HydroSovereign --&gt; ICJ/PCA Dossier --&gt; save HTML</w:t>
      </w:r>
    </w:p>
    <w:p>
      <w:pPr>
        <w:spacing w:after="80"/>
      </w:pPr>
      <w:r>
        <w:t xml:space="preserve"/>
      </w:r>
    </w:p>
    <w:p>
      <w:pPr>
        <w:pBdr>
          <w:top w:val="nil"/>
          <w:left w:val="thick" w:color="553C9A" w:sz="18"/>
          <w:bottom w:val="nil"/>
          <w:right w:val="nil"/>
        </w:pBdr>
        <w:shd w:fill="FAF5FF" w:val="clear"/>
        <w:spacing w:after="60" w:before="60"/>
        <w:ind w:left="280"/>
        <w:jc w:val="left"/>
      </w:pPr>
      <w:r>
        <w:rPr>
          <w:rFonts w:ascii="Arial" w:cs="Arial" w:eastAsia="Arial" w:hAnsi="Arial"/>
          <w:b w:val="false"/>
          <w:bCs w:val="false"/>
          <w:i w:val="false"/>
          <w:iCs w:val="false"/>
          <w:color w:val="44337A"/>
          <w:sz w:val="19"/>
          <w:szCs w:val="19"/>
        </w:rPr>
        <w:t xml:space="preserve">RESULT: Blue Nile (GERD): ATDI=43.5% (Art.7) -- HIFD=20.0% -- NSE=0.63 -- CI=0.44 HIGH -- P(Neg.)=58% -- ATCI=70%</w:t>
      </w:r>
    </w:p>
    <w:p>
      <w:pPr>
        <w:spacing w:after="80"/>
      </w:pPr>
      <w:r>
        <w:t xml:space="preserve"/>
      </w:r>
    </w:p>
    <w:p>
      <w:pPr>
        <w:pStyle w:val="Heading1"/>
        <w:pageBreakBefore/>
        <w:pBdr>
          <w:bottom w:val="single" w:color="0E6B6A" w:sz="6"/>
        </w:pBdr>
        <w:shd w:fill="061F4A" w:val="clear"/>
        <w:spacing w:after="200" w:before="0"/>
        <w:ind w:left="260"/>
      </w:pPr>
      <w:r>
        <w:rPr>
          <w:rFonts w:ascii="Arial" w:cs="Arial" w:eastAsia="Arial" w:hAnsi="Arial"/>
          <w:b/>
          <w:bCs/>
          <w:i w:val="false"/>
          <w:iCs w:val="false"/>
          <w:color w:val="FFFFFF"/>
          <w:sz w:val="28"/>
          <w:szCs w:val="28"/>
        </w:rPr>
        <w:t xml:space="preserve">Arabic Quick Start [NEW] -- daleel al-beda al-saree</w:t>
      </w:r>
    </w:p>
    <w:p>
      <w:pPr>
        <w:spacing w:after="85" w:before="0"/>
        <w:jc w:val="left"/>
      </w:pPr>
      <w:r>
        <w:rPr>
          <w:rFonts w:ascii="Arial" w:cs="Arial" w:eastAsia="Arial" w:hAnsi="Arial"/>
          <w:b w:val="false"/>
          <w:bCs w:val="false"/>
          <w:i w:val="false"/>
          <w:iCs w:val="false"/>
          <w:color w:val="1A202C"/>
          <w:sz w:val="20"/>
          <w:szCs w:val="20"/>
        </w:rPr>
        <w:t xml:space="preserve">HSAE QGIS Plugin v6.0.3 -- Plugin ID: 5040 -- Khutawat al-tashgheel al-saree</w:t>
      </w:r>
    </w:p>
    <w:p>
      <w:pPr>
        <w:spacing w:after="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000"/>
        <w:gridCol w:w="4500"/>
        <w:gridCol w:w="1500"/>
      </w:tblGrid>
      <w:tr>
        <w:trPr>
          <w:tblHeader/>
        </w:trPr>
        <w:tc>
          <w:tcPr>
            <w:tcW w:type="dxa" w:w="3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Al-Khatwa</w:t>
            </w:r>
          </w:p>
        </w:tc>
        <w:tc>
          <w:tcPr>
            <w:tcW w:type="dxa" w:w="4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Al-Ijraa</w:t>
            </w:r>
          </w:p>
        </w:tc>
        <w:tc>
          <w:tcPr>
            <w:tcW w:type="dxa" w:w="1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Al-Waqt</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1 -- Tansib</w:t>
            </w:r>
          </w:p>
        </w:tc>
        <w:tc>
          <w:tcPr>
            <w:tcW w:type="dxa" w:w="4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QGIS Plugins Manage Search HydroSovereign Install</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 daqiqa</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2 -- Tahweel al-Ahwad</w:t>
            </w:r>
          </w:p>
        </w:tc>
        <w:tc>
          <w:tcPr>
            <w:tcW w:type="dxa" w:w="4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Zarr Load Basin Registry fi sharit al-adawat</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10 thaniya</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3 -- Talween al-Makhatir</w:t>
            </w:r>
          </w:p>
        </w:tc>
        <w:tc>
          <w:tcPr>
            <w:tcW w:type="dxa" w:w="4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Ikhtiyar al-tabaqah thumma zarr ATDI Visualiser</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 thaniyat</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4 -- Kharitah Tafailiyah (JADID)</w:t>
            </w:r>
          </w:p>
        </w:tc>
        <w:tc>
          <w:tcPr>
            <w:tcW w:type="dxa" w:w="4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Qaima HydroSovereign Basin Risk Map</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 thaniyat</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5 -- Lawhat al-Muraqabah</w:t>
            </w:r>
          </w:p>
        </w:tc>
        <w:tc>
          <w:tcPr>
            <w:tcW w:type="dxa" w:w="4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Zarr Dashboard ikhtiyar al-hawd</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30 thaniyah</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6 -- Taqreer ICJ</w:t>
            </w:r>
          </w:p>
        </w:tc>
        <w:tc>
          <w:tcPr>
            <w:tcW w:type="dxa" w:w="4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Qaima ICJ/PCA Dossier hifz HTML</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30 thaniyah</w:t>
            </w:r>
          </w:p>
        </w:tc>
      </w:tr>
    </w:tbl>
    <w:p>
      <w:pPr>
        <w:spacing w:after="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800"/>
        <w:gridCol w:w="2200"/>
        <w:gridCol w:w="4000"/>
      </w:tblGrid>
      <w:tr>
        <w:trPr>
          <w:tblHeader/>
        </w:trPr>
        <w:tc>
          <w:tcPr>
            <w:tcW w:type="dxa" w:w="28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Muashr</w:t>
            </w:r>
          </w:p>
        </w:tc>
        <w:tc>
          <w:tcPr>
            <w:tcW w:type="dxa" w:w="22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Qeemat al-Neel al-Azraq (GERD)</w:t>
            </w:r>
          </w:p>
        </w:tc>
        <w:tc>
          <w:tcPr>
            <w:tcW w:type="dxa" w:w="4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Al-Mada al-Qanooni</w:t>
            </w:r>
          </w:p>
        </w:tc>
      </w:tr>
      <w:tr>
        <w:trPr>
          <w:tblHeader w:val="false"/>
        </w:trPr>
        <w:tc>
          <w:tcPr>
            <w:tcW w:type="dxa" w:w="2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ATDI</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43.5%</w:t>
            </w:r>
          </w:p>
        </w:tc>
        <w:tc>
          <w:tcPr>
            <w:tcW w:type="dxa" w:w="4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Mawqif al-Maddah 7 UNWC</w:t>
            </w:r>
          </w:p>
        </w:tc>
      </w:tr>
      <w:tr>
        <w:trPr>
          <w:tblHeader w:val="false"/>
        </w:trPr>
        <w:tc>
          <w:tcPr>
            <w:tcW w:type="dxa" w:w="2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HIFD</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20.0%</w:t>
            </w:r>
          </w:p>
        </w:tc>
        <w:tc>
          <w:tcPr>
            <w:tcW w:type="dxa" w:w="4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 min al-tadaffuq al-tabee</w:t>
            </w:r>
          </w:p>
        </w:tc>
      </w:tr>
      <w:tr>
        <w:trPr>
          <w:tblHeader w:val="false"/>
        </w:trPr>
        <w:tc>
          <w:tcPr>
            <w:tcW w:type="dxa" w:w="2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NSE / KGE</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0.63 / 0.74</w:t>
            </w:r>
          </w:p>
        </w:tc>
        <w:tc>
          <w:tcPr>
            <w:tcW w:type="dxa" w:w="4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Amlah maqbool (taqyeem wakeeli)</w:t>
            </w:r>
          </w:p>
        </w:tc>
      </w:tr>
      <w:tr>
        <w:trPr>
          <w:tblHeader w:val="false"/>
        </w:trPr>
        <w:tc>
          <w:tcPr>
            <w:tcW w:type="dxa" w:w="2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CI (Muwashir al-Neza)</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0.44 MURTAFE</w:t>
            </w:r>
          </w:p>
        </w:tc>
        <w:tc>
          <w:tcPr>
            <w:tcW w:type="dxa" w:w="4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Khatir murtafe -- tadakhkhul diplomatasi</w:t>
            </w:r>
          </w:p>
        </w:tc>
      </w:tr>
      <w:tr>
        <w:trPr>
          <w:tblHeader w:val="false"/>
        </w:trPr>
        <w:tc>
          <w:tcPr>
            <w:tcW w:type="dxa" w:w="2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P(Mufawadaat)</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58%</w:t>
            </w:r>
          </w:p>
        </w:tc>
        <w:tc>
          <w:tcPr>
            <w:tcW w:type="dxa" w:w="4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Al-Maddah 17 -- Wasata muwassaa</w:t>
            </w:r>
          </w:p>
        </w:tc>
      </w:tr>
      <w:tr>
        <w:trPr>
          <w:tblHeader w:val="false"/>
        </w:trPr>
        <w:tc>
          <w:tcPr>
            <w:tcW w:type="dxa" w:w="2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ATCI</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70%</w:t>
            </w:r>
          </w:p>
        </w:tc>
        <w:tc>
          <w:tcPr>
            <w:tcW w:type="dxa" w:w="4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 min 10 mawad UNWC 1997 mufahhaza</w:t>
            </w:r>
          </w:p>
        </w:tc>
      </w:tr>
    </w:tbl>
    <w:p>
      <w:pPr>
        <w:spacing w:after="80"/>
      </w:pPr>
      <w:r>
        <w:t xml:space="preserve"/>
      </w:r>
    </w:p>
    <w:p>
      <w:pPr>
        <w:pBdr>
          <w:top w:val="nil"/>
          <w:left w:val="thick" w:color="0B3D8E" w:sz="18"/>
          <w:bottom w:val="nil"/>
          <w:right w:val="nil"/>
        </w:pBdr>
        <w:shd w:fill="EBF4FF" w:val="clear"/>
        <w:spacing w:after="60" w:before="60"/>
        <w:ind w:left="280"/>
        <w:jc w:val="left"/>
      </w:pPr>
      <w:r>
        <w:rPr>
          <w:rFonts w:ascii="Arial" w:cs="Arial" w:eastAsia="Arial" w:hAnsi="Arial"/>
          <w:b w:val="false"/>
          <w:bCs w:val="false"/>
          <w:i w:val="false"/>
          <w:iCs w:val="false"/>
          <w:color w:val="1A365D"/>
          <w:sz w:val="19"/>
          <w:szCs w:val="19"/>
        </w:rPr>
        <w:t xml:space="preserve">NOTE:   Plugin ID: 5040 -- DOI: 10.5281/zenodo.19180160 -- ORCID: 0000-0003-0821-2991</w:t>
      </w:r>
    </w:p>
    <w:p>
      <w:pPr>
        <w:spacing w:after="80"/>
      </w:pPr>
      <w:r>
        <w:t xml:space="preserve"/>
      </w:r>
    </w:p>
    <w:p>
      <w:pPr>
        <w:pStyle w:val="Heading1"/>
        <w:pageBreakBefore/>
        <w:pBdr>
          <w:bottom w:val="single" w:color="0E6B6A" w:sz="6"/>
        </w:pBdr>
        <w:shd w:fill="061F4A" w:val="clear"/>
        <w:spacing w:after="200" w:before="0"/>
        <w:ind w:left="260"/>
      </w:pPr>
      <w:r>
        <w:rPr>
          <w:rFonts w:ascii="Arial" w:cs="Arial" w:eastAsia="Arial" w:hAnsi="Arial"/>
          <w:b/>
          <w:bCs/>
          <w:i w:val="false"/>
          <w:iCs w:val="false"/>
          <w:color w:val="FFFFFF"/>
          <w:sz w:val="28"/>
          <w:szCs w:val="28"/>
        </w:rPr>
        <w:t xml:space="preserve">Chapter 1 -- Overview &amp; Introduction</w:t>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1.1  What is the HSAE QGIS Plugin?</w:t>
      </w:r>
    </w:p>
    <w:p>
      <w:pPr>
        <w:spacing w:after="85" w:before="0"/>
        <w:jc w:val="left"/>
      </w:pPr>
      <w:r>
        <w:rPr>
          <w:rFonts w:ascii="Arial" w:cs="Arial" w:eastAsia="Arial" w:hAnsi="Arial"/>
          <w:b w:val="false"/>
          <w:bCs w:val="false"/>
          <w:i w:val="false"/>
          <w:iCs w:val="false"/>
          <w:color w:val="1A202C"/>
          <w:sz w:val="20"/>
          <w:szCs w:val="20"/>
        </w:rPr>
        <w:t xml:space="preserve">The HydroSovereign AI Engine QGIS Plugin v6.0.3 (Plugin ID: 5040) is the first open-source platform to automate the complete pipeline from live satellite observation to international water law compliance scoring in under 2 minutes. Published in the official QGIS Plugin Repository, it provides 16 tools and 5 Processing algorithms covering 26 globally contested river basins.</w:t>
      </w:r>
    </w:p>
    <w:p>
      <w:pPr>
        <w:spacing w:after="80"/>
      </w:pPr>
      <w:r>
        <w:t xml:space="preserve"/>
      </w:r>
    </w:p>
    <w:p>
      <w:pPr>
        <w:pBdr>
          <w:top w:val="nil"/>
          <w:left w:val="thick" w:color="276749" w:sz="18"/>
          <w:bottom w:val="nil"/>
          <w:right w:val="nil"/>
        </w:pBdr>
        <w:shd w:fill="F0FFF4" w:val="clear"/>
        <w:spacing w:after="60" w:before="60"/>
        <w:ind w:left="280"/>
        <w:jc w:val="left"/>
      </w:pPr>
      <w:r>
        <w:rPr>
          <w:rFonts w:ascii="Arial" w:cs="Arial" w:eastAsia="Arial" w:hAnsi="Arial"/>
          <w:b w:val="false"/>
          <w:bCs w:val="false"/>
          <w:i w:val="false"/>
          <w:iCs w:val="false"/>
          <w:color w:val="1C4532"/>
          <w:sz w:val="19"/>
          <w:szCs w:val="19"/>
        </w:rPr>
        <w:t xml:space="preserve">OK:     Security: 0 Critical -- 0 Warnings -- 29 files -- Approved by zimbogisgeek -- PR #289 Tim Sutton (QGIS PSC)</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1.2  Why HSAE?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000"/>
        <w:gridCol w:w="6000"/>
      </w:tblGrid>
      <w:tr>
        <w:trPr>
          <w:tblHeader/>
        </w:trPr>
        <w:tc>
          <w:tcPr>
            <w:tcW w:type="dxa" w:w="3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Problem</w:t>
            </w:r>
          </w:p>
        </w:tc>
        <w:tc>
          <w:tcPr>
            <w:tcW w:type="dxa" w:w="6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HSAE Solution</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No real-time satellite-verified picture of upstream water withheld</w:t>
            </w:r>
          </w:p>
        </w:tc>
        <w:tc>
          <w:tcPr>
            <w:tcW w:type="dxa" w:w="6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ATDI computed daily from 9+ GEE sensors</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No bridge between hydrological data and international water law</w:t>
            </w:r>
          </w:p>
        </w:tc>
        <w:tc>
          <w:tcPr>
            <w:tcW w:type="dxa" w:w="6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AHLB (Alkedir HBV-Legal Bridge) links HBV-96 to UNWC articles</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No open-source legal dossier generator</w:t>
            </w:r>
          </w:p>
        </w:tc>
        <w:tc>
          <w:tcPr>
            <w:tcW w:type="dxa" w:w="6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ICJ/PCA Dossier with SHA-256 audit chain -- Tool 12</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No treaty compliance screening tool</w:t>
            </w:r>
          </w:p>
        </w:tc>
        <w:tc>
          <w:tcPr>
            <w:tcW w:type="dxa" w:w="6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ATCI (Alkedir Treaty Compliance Index) -- Tool 16 (NEW)</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No AI prediction of negotiation success</w:t>
            </w:r>
          </w:p>
        </w:tc>
        <w:tc>
          <w:tcPr>
            <w:tcW w:type="dxa" w:w="6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Negotiation AI (GBM -- 478 TFDD/ICJ cases) -- Tool 8</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No interactive map inside QGIS Desktop</w:t>
            </w:r>
          </w:p>
        </w:tc>
        <w:tc>
          <w:tcPr>
            <w:tcW w:type="dxa" w:w="6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Leaflet.js Basin Risk Map -- Tool 14 (NEW)</w:t>
            </w:r>
          </w:p>
        </w:tc>
      </w:tr>
    </w:tbl>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1.3  New in v6.0.3</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500"/>
        <w:gridCol w:w="4000"/>
        <w:gridCol w:w="1500"/>
      </w:tblGrid>
      <w:tr>
        <w:trPr>
          <w:tblHeader/>
        </w:trPr>
        <w:tc>
          <w:tcPr>
            <w:tcW w:type="dxa" w:w="3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Feature</w:t>
            </w:r>
          </w:p>
        </w:tc>
        <w:tc>
          <w:tcPr>
            <w:tcW w:type="dxa" w:w="4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Description</w:t>
            </w:r>
          </w:p>
        </w:tc>
        <w:tc>
          <w:tcPr>
            <w:tcW w:type="dxa" w:w="1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Tool</w:t>
            </w:r>
          </w:p>
        </w:tc>
      </w:tr>
      <w:tr>
        <w:trPr>
          <w:tblHeader w:val="false"/>
        </w:trPr>
        <w:tc>
          <w:tcPr>
            <w:tcW w:type="dxa" w:w="3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Basin Risk Map</w:t>
            </w:r>
          </w:p>
        </w:tc>
        <w:tc>
          <w:tcPr>
            <w:tcW w:type="dxa" w:w="4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Interactive Leaflet.js map embedded inside QGIS Desktop</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14</w:t>
            </w:r>
          </w:p>
        </w:tc>
      </w:tr>
      <w:tr>
        <w:trPr>
          <w:tblHeader w:val="false"/>
        </w:trPr>
        <w:tc>
          <w:tcPr>
            <w:tcW w:type="dxa" w:w="3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Uncertainty Analysis</w:t>
            </w:r>
          </w:p>
        </w:tc>
        <w:tc>
          <w:tcPr>
            <w:tcW w:type="dxa" w:w="4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Bayesian 95% CI on ATDI/HIFD + Sobol sensitivity</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15</w:t>
            </w:r>
          </w:p>
        </w:tc>
      </w:tr>
      <w:tr>
        <w:trPr>
          <w:tblHeader w:val="false"/>
        </w:trPr>
        <w:tc>
          <w:tcPr>
            <w:tcW w:type="dxa" w:w="3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Treaty Analysis (ATCI)</w:t>
            </w:r>
          </w:p>
        </w:tc>
        <w:tc>
          <w:tcPr>
            <w:tcW w:type="dxa" w:w="4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Alkedir Treaty Compliance Index -- 10 UNWC articles per basin</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16</w:t>
            </w:r>
          </w:p>
        </w:tc>
      </w:tr>
      <w:tr>
        <w:trPr>
          <w:tblHeader w:val="false"/>
        </w:trPr>
        <w:tc>
          <w:tcPr>
            <w:tcW w:type="dxa" w:w="3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16 tools total</w:t>
            </w:r>
          </w:p>
        </w:tc>
        <w:tc>
          <w:tcPr>
            <w:tcW w:type="dxa" w:w="4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 new menu-only tools added to 13 existing</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w:t>
            </w:r>
          </w:p>
        </w:tc>
      </w:tr>
      <w:tr>
        <w:trPr>
          <w:tblHeader w:val="false"/>
        </w:trPr>
        <w:tc>
          <w:tcPr>
            <w:tcW w:type="dxa" w:w="3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XML schema fixed</w:t>
            </w:r>
          </w:p>
        </w:tc>
        <w:tc>
          <w:tcPr>
            <w:tcW w:type="dxa" w:w="4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OOXML border ordering corrected -- opens in Word and LibreOffice</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w:t>
            </w:r>
          </w:p>
        </w:tc>
      </w:tr>
      <w:tr>
        <w:trPr>
          <w:tblHeader w:val="false"/>
        </w:trPr>
        <w:tc>
          <w:tcPr>
            <w:tcW w:type="dxa" w:w="3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Manual v6</w:t>
            </w:r>
          </w:p>
        </w:tc>
        <w:tc>
          <w:tcPr>
            <w:tcW w:type="dxa" w:w="4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15 chapters: Equations Index, Error Codes, Legal Disclaimers, Changelog, Arabic Quick Start</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w:t>
            </w:r>
          </w:p>
        </w:tc>
      </w:tr>
    </w:tbl>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1.4  Plugin Components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000"/>
        <w:gridCol w:w="1200"/>
        <w:gridCol w:w="1200"/>
        <w:gridCol w:w="4600"/>
      </w:tblGrid>
      <w:tr>
        <w:trPr>
          <w:tblHeader/>
        </w:trPr>
        <w:tc>
          <w:tcPr>
            <w:tcW w:type="dxa" w:w="2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Component</w:t>
            </w:r>
          </w:p>
        </w:tc>
        <w:tc>
          <w:tcPr>
            <w:tcW w:type="dxa" w:w="12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v6.0.1</w:t>
            </w:r>
          </w:p>
        </w:tc>
        <w:tc>
          <w:tcPr>
            <w:tcW w:type="dxa" w:w="12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v6.0.3</w:t>
            </w:r>
          </w:p>
        </w:tc>
        <w:tc>
          <w:tcPr>
            <w:tcW w:type="dxa" w:w="46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Access</w:t>
            </w:r>
          </w:p>
        </w:tc>
      </w:tr>
      <w:tr>
        <w:trPr>
          <w:tblHeader w:val="false"/>
        </w:trPr>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Toolbar Tools</w:t>
            </w:r>
          </w:p>
        </w:tc>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11</w:t>
            </w:r>
          </w:p>
        </w:tc>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11</w:t>
            </w:r>
          </w:p>
        </w:tc>
        <w:tc>
          <w:tcPr>
            <w:tcW w:type="dxa" w:w="4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Toolbar</w:t>
            </w:r>
          </w:p>
        </w:tc>
      </w:tr>
      <w:tr>
        <w:trPr>
          <w:tblHeader w:val="false"/>
        </w:trPr>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Menu-only Tools</w:t>
            </w:r>
          </w:p>
        </w:tc>
        <w:tc>
          <w:tcPr>
            <w:tcW w:type="dxa" w:w="1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w:t>
            </w:r>
          </w:p>
        </w:tc>
        <w:tc>
          <w:tcPr>
            <w:tcW w:type="dxa" w:w="1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 (+3 new)</w:t>
            </w:r>
          </w:p>
        </w:tc>
        <w:tc>
          <w:tcPr>
            <w:tcW w:type="dxa" w:w="4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HydroSovereign menu</w:t>
            </w:r>
          </w:p>
        </w:tc>
      </w:tr>
      <w:tr>
        <w:trPr>
          <w:tblHeader w:val="false"/>
        </w:trPr>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Processing Algorithms</w:t>
            </w:r>
          </w:p>
        </w:tc>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w:t>
            </w:r>
          </w:p>
        </w:tc>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w:t>
            </w:r>
          </w:p>
        </w:tc>
        <w:tc>
          <w:tcPr>
            <w:tcW w:type="dxa" w:w="4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Processing Toolbox (Ctrl+Alt+T)</w:t>
            </w:r>
          </w:p>
        </w:tc>
      </w:tr>
      <w:tr>
        <w:trPr>
          <w:tblHeader w:val="false"/>
        </w:trPr>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Basin Registry</w:t>
            </w:r>
          </w:p>
        </w:tc>
        <w:tc>
          <w:tcPr>
            <w:tcW w:type="dxa" w:w="1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26</w:t>
            </w:r>
          </w:p>
        </w:tc>
        <w:tc>
          <w:tcPr>
            <w:tcW w:type="dxa" w:w="1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26</w:t>
            </w:r>
          </w:p>
        </w:tc>
        <w:tc>
          <w:tcPr>
            <w:tcW w:type="dxa" w:w="4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basins_50.json built-in</w:t>
            </w:r>
          </w:p>
        </w:tc>
      </w:tr>
      <w:tr>
        <w:trPr>
          <w:tblHeader w:val="false"/>
        </w:trPr>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GEE Satellite Scripts</w:t>
            </w:r>
          </w:p>
        </w:tc>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w:t>
            </w:r>
          </w:p>
        </w:tc>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9+</w:t>
            </w:r>
          </w:p>
        </w:tc>
        <w:tc>
          <w:tcPr>
            <w:tcW w:type="dxa" w:w="4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5</w:t>
            </w:r>
          </w:p>
        </w:tc>
      </w:tr>
      <w:tr>
        <w:trPr>
          <w:tblHeader w:val="false"/>
        </w:trPr>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Files in ZIP</w:t>
            </w:r>
          </w:p>
        </w:tc>
        <w:tc>
          <w:tcPr>
            <w:tcW w:type="dxa" w:w="1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22</w:t>
            </w:r>
          </w:p>
        </w:tc>
        <w:tc>
          <w:tcPr>
            <w:tcW w:type="dxa" w:w="1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29</w:t>
            </w:r>
          </w:p>
        </w:tc>
        <w:tc>
          <w:tcPr>
            <w:tcW w:type="dxa" w:w="4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QGIS Plugin Repository</w:t>
            </w:r>
          </w:p>
        </w:tc>
      </w:tr>
    </w:tbl>
    <w:p>
      <w:pPr>
        <w:spacing w:after="80"/>
      </w:pPr>
      <w:r>
        <w:t xml:space="preserve"/>
      </w:r>
    </w:p>
    <w:p>
      <w:pPr>
        <w:pStyle w:val="Heading1"/>
        <w:pageBreakBefore/>
        <w:pBdr>
          <w:bottom w:val="single" w:color="0E6B6A" w:sz="6"/>
        </w:pBdr>
        <w:shd w:fill="061F4A" w:val="clear"/>
        <w:spacing w:after="200" w:before="0"/>
        <w:ind w:left="260"/>
      </w:pPr>
      <w:r>
        <w:rPr>
          <w:rFonts w:ascii="Arial" w:cs="Arial" w:eastAsia="Arial" w:hAnsi="Arial"/>
          <w:b/>
          <w:bCs/>
          <w:i w:val="false"/>
          <w:iCs w:val="false"/>
          <w:color w:val="FFFFFF"/>
          <w:sz w:val="28"/>
          <w:szCs w:val="28"/>
        </w:rPr>
        <w:t xml:space="preserve">Chapter 2 -- Installation &amp; Requirements</w:t>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2.1  System Requirements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000"/>
        <w:gridCol w:w="3000"/>
        <w:gridCol w:w="4000"/>
      </w:tblGrid>
      <w:tr>
        <w:trPr>
          <w:tblHeader/>
        </w:trPr>
        <w:tc>
          <w:tcPr>
            <w:tcW w:type="dxa" w:w="2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Component</w:t>
            </w:r>
          </w:p>
        </w:tc>
        <w:tc>
          <w:tcPr>
            <w:tcW w:type="dxa" w:w="3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Minimum</w:t>
            </w:r>
          </w:p>
        </w:tc>
        <w:tc>
          <w:tcPr>
            <w:tcW w:type="dxa" w:w="4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Recommended</w:t>
            </w:r>
          </w:p>
        </w:tc>
      </w:tr>
      <w:tr>
        <w:trPr>
          <w:tblHeader w:val="false"/>
        </w:trPr>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QGIS</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3.16 LTR</w:t>
            </w:r>
          </w:p>
        </w:tc>
        <w:tc>
          <w:tcPr>
            <w:tcW w:type="dxa" w:w="4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3.28 LTR (latest stable)</w:t>
            </w:r>
          </w:p>
        </w:tc>
      </w:tr>
      <w:tr>
        <w:trPr>
          <w:tblHeader w:val="false"/>
        </w:trPr>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Python</w:t>
            </w:r>
          </w:p>
        </w:tc>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3.8 (bundled)</w:t>
            </w:r>
          </w:p>
        </w:tc>
        <w:tc>
          <w:tcPr>
            <w:tcW w:type="dxa" w:w="4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3.10+ (bundled with QGIS 3.28)</w:t>
            </w:r>
          </w:p>
        </w:tc>
      </w:tr>
      <w:tr>
        <w:trPr>
          <w:tblHeader w:val="false"/>
        </w:trPr>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OS</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Windows 10, macOS 10.15, Ubuntu 20.04</w:t>
            </w:r>
          </w:p>
        </w:tc>
        <w:tc>
          <w:tcPr>
            <w:tcW w:type="dxa" w:w="4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Windows 11, macOS 13, Ubuntu 22.04</w:t>
            </w:r>
          </w:p>
        </w:tc>
      </w:tr>
      <w:tr>
        <w:trPr>
          <w:tblHeader w:val="false"/>
        </w:trPr>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RAM</w:t>
            </w:r>
          </w:p>
        </w:tc>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 GB</w:t>
            </w:r>
          </w:p>
        </w:tc>
        <w:tc>
          <w:tcPr>
            <w:tcW w:type="dxa" w:w="4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8 GB+</w:t>
            </w:r>
          </w:p>
        </w:tc>
      </w:tr>
      <w:tr>
        <w:trPr>
          <w:tblHeader w:val="false"/>
        </w:trPr>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Internet</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Required (GEE scripts + Leaflet CDN)</w:t>
            </w:r>
          </w:p>
        </w:tc>
        <w:tc>
          <w:tcPr>
            <w:tcW w:type="dxa" w:w="4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Stable broadband</w:t>
            </w:r>
          </w:p>
        </w:tc>
      </w:tr>
      <w:tr>
        <w:trPr>
          <w:tblHeader w:val="false"/>
        </w:trPr>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PyQtWebEngine</w:t>
            </w:r>
          </w:p>
        </w:tc>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Required for Tools 14/15/16</w:t>
            </w:r>
          </w:p>
        </w:tc>
        <w:tc>
          <w:tcPr>
            <w:tcW w:type="dxa" w:w="4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Bundled in QGIS 3.28</w:t>
            </w:r>
          </w:p>
        </w:tc>
      </w:tr>
    </w:tbl>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2.2  Method A -- QGIS Plugin Repository (Recommended)</w:t>
      </w:r>
    </w:p>
    <w:p>
      <w:pPr>
        <w:pStyle w:val="ListParagraph"/>
        <w:numPr>
          <w:ilvl w:val="0"/>
          <w:numId w:val="2"/>
        </w:numPr>
        <w:spacing w:after="60"/>
      </w:pPr>
      <w:r>
        <w:rPr>
          <w:rFonts w:ascii="Arial" w:cs="Arial" w:eastAsia="Arial" w:hAnsi="Arial"/>
          <w:b w:val="false"/>
          <w:bCs w:val="false"/>
          <w:i w:val="false"/>
          <w:iCs w:val="false"/>
          <w:color w:val="1A202C"/>
          <w:sz w:val="20"/>
          <w:szCs w:val="20"/>
        </w:rPr>
        <w:t xml:space="preserve">QGIS --&gt; Plugins --&gt; Manage and Install Plugins</w:t>
      </w:r>
    </w:p>
    <w:p>
      <w:pPr>
        <w:pStyle w:val="ListParagraph"/>
        <w:numPr>
          <w:ilvl w:val="0"/>
          <w:numId w:val="2"/>
        </w:numPr>
        <w:spacing w:after="60"/>
      </w:pPr>
      <w:r>
        <w:rPr>
          <w:rFonts w:ascii="Arial" w:cs="Arial" w:eastAsia="Arial" w:hAnsi="Arial"/>
          <w:b w:val="false"/>
          <w:bCs w:val="false"/>
          <w:i w:val="false"/>
          <w:iCs w:val="false"/>
          <w:color w:val="1A202C"/>
          <w:sz w:val="20"/>
          <w:szCs w:val="20"/>
        </w:rPr>
        <w:t xml:space="preserve">Search: HydroSovereign --&gt; Install Plugin</w:t>
      </w:r>
    </w:p>
    <w:p>
      <w:pPr>
        <w:pStyle w:val="ListParagraph"/>
        <w:numPr>
          <w:ilvl w:val="0"/>
          <w:numId w:val="2"/>
        </w:numPr>
        <w:spacing w:after="60"/>
      </w:pPr>
      <w:r>
        <w:rPr>
          <w:rFonts w:ascii="Arial" w:cs="Arial" w:eastAsia="Arial" w:hAnsi="Arial"/>
          <w:b w:val="false"/>
          <w:bCs w:val="false"/>
          <w:i w:val="false"/>
          <w:iCs w:val="false"/>
          <w:color w:val="1A202C"/>
          <w:sz w:val="20"/>
          <w:szCs w:val="20"/>
        </w:rPr>
        <w:t xml:space="preserve">HSAE toolbar and menu appear immediately -- no restart needed</w:t>
      </w:r>
    </w:p>
    <w:p>
      <w:pPr>
        <w:pBdr>
          <w:top w:val="nil"/>
          <w:left w:val="thick" w:color="276749" w:sz="18"/>
          <w:bottom w:val="nil"/>
          <w:right w:val="nil"/>
        </w:pBdr>
        <w:shd w:fill="F0FFF4" w:val="clear"/>
        <w:spacing w:after="60" w:before="60"/>
        <w:ind w:left="280"/>
        <w:jc w:val="left"/>
      </w:pPr>
      <w:r>
        <w:rPr>
          <w:rFonts w:ascii="Arial" w:cs="Arial" w:eastAsia="Arial" w:hAnsi="Arial"/>
          <w:b w:val="false"/>
          <w:bCs w:val="false"/>
          <w:i w:val="false"/>
          <w:iCs w:val="false"/>
          <w:color w:val="1C4532"/>
          <w:sz w:val="19"/>
          <w:szCs w:val="19"/>
        </w:rPr>
        <w:t xml:space="preserve">OK:     Plugin ID: 5040 -- 0 Critical -- 0 Warnings -- 29 files</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2.3  Method B -- Install from ZIP</w:t>
      </w:r>
    </w:p>
    <w:p>
      <w:pPr>
        <w:pStyle w:val="ListParagraph"/>
        <w:numPr>
          <w:ilvl w:val="0"/>
          <w:numId w:val="2"/>
        </w:numPr>
        <w:spacing w:after="60"/>
      </w:pPr>
      <w:r>
        <w:rPr>
          <w:rFonts w:ascii="Arial" w:cs="Arial" w:eastAsia="Arial" w:hAnsi="Arial"/>
          <w:b w:val="false"/>
          <w:bCs w:val="false"/>
          <w:i w:val="false"/>
          <w:iCs w:val="false"/>
          <w:color w:val="1A202C"/>
          <w:sz w:val="20"/>
          <w:szCs w:val="20"/>
        </w:rPr>
        <w:t xml:space="preserve">Download HSAE_v603_QGIS_Plugin.zip from GitHub</w:t>
      </w:r>
    </w:p>
    <w:p>
      <w:pPr>
        <w:pStyle w:val="ListParagraph"/>
        <w:numPr>
          <w:ilvl w:val="0"/>
          <w:numId w:val="2"/>
        </w:numPr>
        <w:spacing w:after="60"/>
      </w:pPr>
      <w:r>
        <w:rPr>
          <w:rFonts w:ascii="Arial" w:cs="Arial" w:eastAsia="Arial" w:hAnsi="Arial"/>
          <w:b w:val="false"/>
          <w:bCs w:val="false"/>
          <w:i w:val="false"/>
          <w:iCs w:val="false"/>
          <w:color w:val="1A202C"/>
          <w:sz w:val="20"/>
          <w:szCs w:val="20"/>
        </w:rPr>
        <w:t xml:space="preserve">Plugins --&gt; Manage --&gt; Install from ZIP --&gt; browse --&gt; Install</w:t>
      </w:r>
    </w:p>
    <w:p>
      <w:pPr>
        <w:pBdr>
          <w:top w:val="nil"/>
          <w:left w:val="thick" w:color="C05621" w:sz="18"/>
          <w:bottom w:val="nil"/>
          <w:right w:val="nil"/>
        </w:pBdr>
        <w:shd w:fill="FFFBEB" w:val="clear"/>
        <w:spacing w:after="60" w:before="60"/>
        <w:ind w:left="280"/>
        <w:jc w:val="left"/>
      </w:pPr>
      <w:r>
        <w:rPr>
          <w:rFonts w:ascii="Arial" w:cs="Arial" w:eastAsia="Arial" w:hAnsi="Arial"/>
          <w:b w:val="false"/>
          <w:bCs w:val="false"/>
          <w:i w:val="false"/>
          <w:iCs w:val="false"/>
          <w:color w:val="7B341E"/>
          <w:sz w:val="19"/>
          <w:szCs w:val="19"/>
        </w:rPr>
        <w:t xml:space="preserve">WARN:   Internal folder must be hsae_qgis/ -- do not rename. Method A is preferred.</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2.4  PyQtWebEngine (Required for Tools 14/15/16)</w:t>
      </w:r>
    </w:p>
    <w:p>
      <w:pPr>
        <w:pBdr>
          <w:top w:val="nil"/>
          <w:left w:val="thick" w:color="0B3D8E" w:sz="16"/>
          <w:bottom w:val="nil"/>
          <w:right w:val="nil"/>
        </w:pBdr>
        <w:shd w:fill="EDF2F7" w:val="clear"/>
        <w:spacing w:after="60" w:before="60"/>
        <w:ind w:left="280"/>
      </w:pPr>
      <w:r>
        <w:rPr>
          <w:rFonts w:ascii="Courier New" w:cs="Courier New" w:eastAsia="Courier New" w:hAnsi="Courier New"/>
          <w:color w:val="1A365D"/>
          <w:sz w:val="18"/>
          <w:szCs w:val="18"/>
        </w:rPr>
        <w:t xml:space="preserve">pip install PyQtWebEngine</w:t>
      </w:r>
    </w:p>
    <w:p>
      <w:pPr>
        <w:pBdr>
          <w:top w:val="nil"/>
          <w:left w:val="thick" w:color="0B3D8E" w:sz="18"/>
          <w:bottom w:val="nil"/>
          <w:right w:val="nil"/>
        </w:pBdr>
        <w:shd w:fill="EBF4FF" w:val="clear"/>
        <w:spacing w:after="60" w:before="60"/>
        <w:ind w:left="280"/>
        <w:jc w:val="left"/>
      </w:pPr>
      <w:r>
        <w:rPr>
          <w:rFonts w:ascii="Arial" w:cs="Arial" w:eastAsia="Arial" w:hAnsi="Arial"/>
          <w:b w:val="false"/>
          <w:bCs w:val="false"/>
          <w:i w:val="false"/>
          <w:iCs w:val="false"/>
          <w:color w:val="1A365D"/>
          <w:sz w:val="19"/>
          <w:szCs w:val="19"/>
        </w:rPr>
        <w:t xml:space="preserve">NOTE:   QGIS 3.28+ bundles PyQtWebEngine. If panels show a warning box, install manually.</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2.5  Verifying Installation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000"/>
        <w:gridCol w:w="6000"/>
      </w:tblGrid>
      <w:tr>
        <w:trPr>
          <w:tblHeader/>
        </w:trPr>
        <w:tc>
          <w:tcPr>
            <w:tcW w:type="dxa" w:w="3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Location</w:t>
            </w:r>
          </w:p>
        </w:tc>
        <w:tc>
          <w:tcPr>
            <w:tcW w:type="dxa" w:w="6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Expected</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QGIS Menu Bar</w:t>
            </w:r>
          </w:p>
        </w:tc>
        <w:tc>
          <w:tcPr>
            <w:tcW w:type="dxa" w:w="6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HydroSovereign AI Engine v6.0.3 between Plugins and Help</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QGIS Toolbar</w:t>
            </w:r>
          </w:p>
        </w:tc>
        <w:tc>
          <w:tcPr>
            <w:tcW w:type="dxa" w:w="6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HSAE toolbar row with 11 buttons</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Processing Toolbox (Ctrl+Alt+T)</w:t>
            </w:r>
          </w:p>
        </w:tc>
        <w:tc>
          <w:tcPr>
            <w:tcW w:type="dxa" w:w="6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HydroSovereign AI Engine v6.0.3 group with 5 algorithms</w:t>
            </w:r>
          </w:p>
        </w:tc>
      </w:tr>
    </w:tbl>
    <w:p>
      <w:pPr>
        <w:spacing w:after="80"/>
      </w:pPr>
      <w:r>
        <w:t xml:space="preserve"/>
      </w:r>
    </w:p>
    <w:p>
      <w:pPr>
        <w:pStyle w:val="Heading1"/>
        <w:pageBreakBefore/>
        <w:pBdr>
          <w:bottom w:val="single" w:color="0E6B6A" w:sz="6"/>
        </w:pBdr>
        <w:shd w:fill="061F4A" w:val="clear"/>
        <w:spacing w:after="200" w:before="0"/>
        <w:ind w:left="260"/>
      </w:pPr>
      <w:r>
        <w:rPr>
          <w:rFonts w:ascii="Arial" w:cs="Arial" w:eastAsia="Arial" w:hAnsi="Arial"/>
          <w:b/>
          <w:bCs/>
          <w:i w:val="false"/>
          <w:iCs w:val="false"/>
          <w:color w:val="FFFFFF"/>
          <w:sz w:val="28"/>
          <w:szCs w:val="28"/>
        </w:rPr>
        <w:t xml:space="preserve">Chapter 3 -- Interface Overview</w:t>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3.1  HSAE Toolbar -- 11 Buttons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00"/>
        <w:gridCol w:w="2800"/>
        <w:gridCol w:w="5800"/>
      </w:tblGrid>
      <w:tr>
        <w:trPr>
          <w:tblHeader/>
        </w:trPr>
        <w:tc>
          <w:tcPr>
            <w:tcW w:type="dxa" w:w="4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Pos</w:t>
            </w:r>
          </w:p>
        </w:tc>
        <w:tc>
          <w:tcPr>
            <w:tcW w:type="dxa" w:w="28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Button Name</w:t>
            </w:r>
          </w:p>
        </w:tc>
        <w:tc>
          <w:tcPr>
            <w:tcW w:type="dxa" w:w="58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Action</w:t>
            </w:r>
          </w:p>
        </w:tc>
      </w:tr>
      <w:tr>
        <w:trPr>
          <w:tblHeader w:val="false"/>
        </w:trPr>
        <w:tc>
          <w:tcPr>
            <w:tcW w:type="dxa" w:w="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w:t>
            </w:r>
          </w:p>
        </w:tc>
        <w:tc>
          <w:tcPr>
            <w:tcW w:type="dxa" w:w="2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Load Basin Registry</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Loads 26 basins as QGIS point layer</w:t>
            </w:r>
          </w:p>
        </w:tc>
      </w:tr>
      <w:tr>
        <w:trPr>
          <w:tblHeader w:val="false"/>
        </w:trPr>
        <w:tc>
          <w:tcPr>
            <w:tcW w:type="dxa" w:w="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w:t>
            </w:r>
          </w:p>
        </w:tc>
        <w:tc>
          <w:tcPr>
            <w:tcW w:type="dxa" w:w="2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TDI/ATDI Visualiser</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Applies graduated colour by ATDI risk</w:t>
            </w:r>
          </w:p>
        </w:tc>
      </w:tr>
      <w:tr>
        <w:trPr>
          <w:tblHeader w:val="false"/>
        </w:trPr>
        <w:tc>
          <w:tcPr>
            <w:tcW w:type="dxa" w:w="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w:t>
            </w:r>
          </w:p>
        </w:tc>
        <w:tc>
          <w:tcPr>
            <w:tcW w:type="dxa" w:w="2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UNWC Legal Layer</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Creates treaty compliance risk layer</w:t>
            </w:r>
          </w:p>
        </w:tc>
      </w:tr>
      <w:tr>
        <w:trPr>
          <w:tblHeader w:val="false"/>
        </w:trPr>
        <w:tc>
          <w:tcPr>
            <w:tcW w:type="dxa" w:w="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w:t>
            </w:r>
          </w:p>
        </w:tc>
        <w:tc>
          <w:tcPr>
            <w:tcW w:type="dxa" w:w="2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GRDC Stations Overlay</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Loads 10 GRDC monitoring stations</w:t>
            </w:r>
          </w:p>
        </w:tc>
      </w:tr>
      <w:tr>
        <w:trPr>
          <w:tblHeader w:val="false"/>
        </w:trPr>
        <w:tc>
          <w:tcPr>
            <w:tcW w:type="dxa" w:w="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w:t>
            </w:r>
          </w:p>
        </w:tc>
        <w:tc>
          <w:tcPr>
            <w:tcW w:type="dxa" w:w="2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GEE Script Generator</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Generates 9+ satellite scripts</w:t>
            </w:r>
          </w:p>
        </w:tc>
      </w:tr>
      <w:tr>
        <w:trPr>
          <w:tblHeader w:val="false"/>
        </w:trPr>
        <w:tc>
          <w:tcPr>
            <w:tcW w:type="dxa" w:w="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w:t>
            </w:r>
          </w:p>
        </w:tc>
        <w:tc>
          <w:tcPr>
            <w:tcW w:type="dxa" w:w="2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Dashboard Dialog</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Per-basin full analysis dialog</w:t>
            </w:r>
          </w:p>
        </w:tc>
      </w:tr>
      <w:tr>
        <w:trPr>
          <w:tblHeader w:val="false"/>
        </w:trPr>
        <w:tc>
          <w:tcPr>
            <w:tcW w:type="dxa" w:w="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w:t>
            </w:r>
          </w:p>
        </w:tc>
        <w:tc>
          <w:tcPr>
            <w:tcW w:type="dxa" w:w="2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Conflict Index</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Computes CI for all 26 basins</w:t>
            </w:r>
          </w:p>
        </w:tc>
      </w:tr>
      <w:tr>
        <w:trPr>
          <w:tblHeader w:val="false"/>
        </w:trPr>
        <w:tc>
          <w:tcPr>
            <w:tcW w:type="dxa" w:w="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8</w:t>
            </w:r>
          </w:p>
        </w:tc>
        <w:tc>
          <w:tcPr>
            <w:tcW w:type="dxa" w:w="2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Negotiation AI</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Predicts negotiation success probability</w:t>
            </w:r>
          </w:p>
        </w:tc>
      </w:tr>
      <w:tr>
        <w:trPr>
          <w:tblHeader w:val="false"/>
        </w:trPr>
        <w:tc>
          <w:tcPr>
            <w:tcW w:type="dxa" w:w="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9</w:t>
            </w:r>
          </w:p>
        </w:tc>
        <w:tc>
          <w:tcPr>
            <w:tcW w:type="dxa" w:w="2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WebGIS Map Generator</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Generates offline HTML Leaflet map</w:t>
            </w:r>
          </w:p>
        </w:tc>
      </w:tr>
      <w:tr>
        <w:trPr>
          <w:tblHeader w:val="false"/>
        </w:trPr>
        <w:tc>
          <w:tcPr>
            <w:tcW w:type="dxa" w:w="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10</w:t>
            </w:r>
          </w:p>
        </w:tc>
        <w:tc>
          <w:tcPr>
            <w:tcW w:type="dxa" w:w="2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Export Basin Data</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Exports to GeoJSON / Shapefile / CSV</w:t>
            </w:r>
          </w:p>
        </w:tc>
      </w:tr>
      <w:tr>
        <w:trPr>
          <w:tblHeader w:val="false"/>
        </w:trPr>
        <w:tc>
          <w:tcPr>
            <w:tcW w:type="dxa" w:w="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11</w:t>
            </w:r>
          </w:p>
        </w:tc>
        <w:tc>
          <w:tcPr>
            <w:tcW w:type="dxa" w:w="2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Basin Panel (dockable)</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Toggles dockable live dashboard</w:t>
            </w:r>
          </w:p>
        </w:tc>
      </w:tr>
    </w:tbl>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3.2  Menu-Only Tools -- v6.0.3 (5 items)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000"/>
        <w:gridCol w:w="5000"/>
        <w:gridCol w:w="2000"/>
      </w:tblGrid>
      <w:tr>
        <w:trPr>
          <w:tblHeader/>
        </w:trPr>
        <w:tc>
          <w:tcPr>
            <w:tcW w:type="dxa" w:w="2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Tool</w:t>
            </w:r>
          </w:p>
        </w:tc>
        <w:tc>
          <w:tcPr>
            <w:tcW w:type="dxa" w:w="5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Menu Path</w:t>
            </w:r>
          </w:p>
        </w:tc>
        <w:tc>
          <w:tcPr>
            <w:tcW w:type="dxa" w:w="2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New?</w:t>
            </w:r>
          </w:p>
        </w:tc>
      </w:tr>
      <w:tr>
        <w:trPr>
          <w:tblHeader w:val="false"/>
        </w:trPr>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12 -- ICJ/PCA Dossier</w:t>
            </w:r>
          </w:p>
        </w:tc>
        <w:tc>
          <w:tcPr>
            <w:tcW w:type="dxa" w:w="5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HydroSovereign --&gt; ICJ/PCA Dossier</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w:t>
            </w:r>
          </w:p>
        </w:tc>
      </w:tr>
      <w:tr>
        <w:trPr>
          <w:tblHeader w:val="false"/>
        </w:trPr>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13 -- About HSAE v6.0.3</w:t>
            </w:r>
          </w:p>
        </w:tc>
        <w:tc>
          <w:tcPr>
            <w:tcW w:type="dxa" w:w="5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HydroSovereign --&gt; About HSAE v6.0.3</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w:t>
            </w:r>
          </w:p>
        </w:tc>
      </w:tr>
      <w:tr>
        <w:trPr>
          <w:tblHeader w:val="false"/>
        </w:trPr>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14 -- Basin Risk Map</w:t>
            </w:r>
          </w:p>
        </w:tc>
        <w:tc>
          <w:tcPr>
            <w:tcW w:type="dxa" w:w="5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HydroSovereign --&gt; Basin Risk Map</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NEW</w:t>
            </w:r>
          </w:p>
        </w:tc>
      </w:tr>
      <w:tr>
        <w:trPr>
          <w:tblHeader w:val="false"/>
        </w:trPr>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15 -- Uncertainty Analysis</w:t>
            </w:r>
          </w:p>
        </w:tc>
        <w:tc>
          <w:tcPr>
            <w:tcW w:type="dxa" w:w="5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HydroSovereign --&gt; Uncertainty Analysis</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NEW</w:t>
            </w:r>
          </w:p>
        </w:tc>
      </w:tr>
      <w:tr>
        <w:trPr>
          <w:tblHeader w:val="false"/>
        </w:trPr>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16 -- Treaty Analysis (ATCI)</w:t>
            </w:r>
          </w:p>
        </w:tc>
        <w:tc>
          <w:tcPr>
            <w:tcW w:type="dxa" w:w="5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HydroSovereign --&gt; Treaty Analysis (ATCI)</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NEW</w:t>
            </w:r>
          </w:p>
        </w:tc>
      </w:tr>
    </w:tbl>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3.3  Processing Toolbox (5 Algorithms)</w:t>
      </w:r>
    </w:p>
    <w:p>
      <w:pPr>
        <w:spacing w:after="85" w:before="0"/>
        <w:jc w:val="left"/>
      </w:pPr>
      <w:r>
        <w:rPr>
          <w:rFonts w:ascii="Arial" w:cs="Arial" w:eastAsia="Arial" w:hAnsi="Arial"/>
          <w:b w:val="false"/>
          <w:bCs w:val="false"/>
          <w:i w:val="false"/>
          <w:iCs w:val="false"/>
          <w:color w:val="1A202C"/>
          <w:sz w:val="20"/>
          <w:szCs w:val="20"/>
        </w:rPr>
        <w:t xml:space="preserve">Processing --&gt; Toolbox (Ctrl+Alt+T) --&gt; HydroSovereign AI Engine v6.0.3</w:t>
      </w:r>
    </w:p>
    <w:p>
      <w:pPr>
        <w:pStyle w:val="ListParagraph"/>
        <w:numPr>
          <w:ilvl w:val="0"/>
          <w:numId w:val="3"/>
        </w:numPr>
        <w:spacing w:after="55"/>
      </w:pPr>
      <w:r>
        <w:rPr>
          <w:rFonts w:ascii="Arial" w:cs="Arial" w:eastAsia="Arial" w:hAnsi="Arial"/>
          <w:b/>
          <w:bCs/>
          <w:i w:val="false"/>
          <w:iCs w:val="false"/>
          <w:color w:val="061F4A"/>
          <w:sz w:val="20"/>
          <w:szCs w:val="20"/>
        </w:rPr>
        <w:t xml:space="preserve">HSAE Indices: </w:t>
      </w:r>
      <w:r>
        <w:rPr>
          <w:rFonts w:ascii="Arial" w:cs="Arial" w:eastAsia="Arial" w:hAnsi="Arial"/>
          <w:b w:val="false"/>
          <w:bCs w:val="false"/>
          <w:i w:val="false"/>
          <w:iCs w:val="false"/>
          <w:color w:val="1A202C"/>
          <w:sz w:val="20"/>
          <w:szCs w:val="20"/>
        </w:rPr>
        <w:t xml:space="preserve">ATDI Calculator, HIFD Calculator</w:t>
      </w:r>
    </w:p>
    <w:p>
      <w:pPr>
        <w:pStyle w:val="ListParagraph"/>
        <w:numPr>
          <w:ilvl w:val="0"/>
          <w:numId w:val="3"/>
        </w:numPr>
        <w:spacing w:after="55"/>
      </w:pPr>
      <w:r>
        <w:rPr>
          <w:rFonts w:ascii="Arial" w:cs="Arial" w:eastAsia="Arial" w:hAnsi="Arial"/>
          <w:b/>
          <w:bCs/>
          <w:i w:val="false"/>
          <w:iCs w:val="false"/>
          <w:color w:val="061F4A"/>
          <w:sz w:val="20"/>
          <w:szCs w:val="20"/>
        </w:rPr>
        <w:t xml:space="preserve">HSAE Reports: </w:t>
      </w:r>
      <w:r>
        <w:rPr>
          <w:rFonts w:ascii="Arial" w:cs="Arial" w:eastAsia="Arial" w:hAnsi="Arial"/>
          <w:b w:val="false"/>
          <w:bCs w:val="false"/>
          <w:i w:val="false"/>
          <w:iCs w:val="false"/>
          <w:color w:val="1A202C"/>
          <w:sz w:val="20"/>
          <w:szCs w:val="20"/>
        </w:rPr>
        <w:t xml:space="preserve">Basin Legal Report, Multi-Basin Comparison</w:t>
      </w:r>
    </w:p>
    <w:p>
      <w:pPr>
        <w:pStyle w:val="ListParagraph"/>
        <w:numPr>
          <w:ilvl w:val="0"/>
          <w:numId w:val="3"/>
        </w:numPr>
        <w:spacing w:after="55"/>
      </w:pPr>
      <w:r>
        <w:rPr>
          <w:rFonts w:ascii="Arial" w:cs="Arial" w:eastAsia="Arial" w:hAnsi="Arial"/>
          <w:b/>
          <w:bCs/>
          <w:i w:val="false"/>
          <w:iCs w:val="false"/>
          <w:color w:val="061F4A"/>
          <w:sz w:val="20"/>
          <w:szCs w:val="20"/>
        </w:rPr>
        <w:t xml:space="preserve">HSAE Hydrology: </w:t>
      </w:r>
      <w:r>
        <w:rPr>
          <w:rFonts w:ascii="Arial" w:cs="Arial" w:eastAsia="Arial" w:hAnsi="Arial"/>
          <w:b w:val="false"/>
          <w:bCs w:val="false"/>
          <w:i w:val="false"/>
          <w:iCs w:val="false"/>
          <w:color w:val="1A202C"/>
          <w:sz w:val="20"/>
          <w:szCs w:val="20"/>
        </w:rPr>
        <w:t xml:space="preserve">HBV-96 Calibration SCE-UA</w:t>
      </w:r>
    </w:p>
    <w:p>
      <w:pPr>
        <w:spacing w:after="80"/>
      </w:pPr>
      <w:r>
        <w:t xml:space="preserve"/>
      </w:r>
    </w:p>
    <w:p>
      <w:pPr>
        <w:pStyle w:val="Heading1"/>
        <w:pageBreakBefore/>
        <w:pBdr>
          <w:bottom w:val="single" w:color="0E6B6A" w:sz="6"/>
        </w:pBdr>
        <w:shd w:fill="061F4A" w:val="clear"/>
        <w:spacing w:after="200" w:before="0"/>
        <w:ind w:left="260"/>
      </w:pPr>
      <w:r>
        <w:rPr>
          <w:rFonts w:ascii="Arial" w:cs="Arial" w:eastAsia="Arial" w:hAnsi="Arial"/>
          <w:b/>
          <w:bCs/>
          <w:i w:val="false"/>
          <w:iCs w:val="false"/>
          <w:color w:val="FFFFFF"/>
          <w:sz w:val="28"/>
          <w:szCs w:val="28"/>
        </w:rPr>
        <w:t xml:space="preserve">Chapter 4 -- Complete Tool Reference (16 Tools)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00"/>
        <w:gridCol w:w="2500"/>
        <w:gridCol w:w="3900"/>
        <w:gridCol w:w="2200"/>
      </w:tblGrid>
      <w:tr>
        <w:trPr>
          <w:tblHeader/>
        </w:trPr>
        <w:tc>
          <w:tcPr>
            <w:tcW w:type="dxa" w:w="4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w:t>
            </w:r>
          </w:p>
        </w:tc>
        <w:tc>
          <w:tcPr>
            <w:tcW w:type="dxa" w:w="2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Tool</w:t>
            </w:r>
          </w:p>
        </w:tc>
        <w:tc>
          <w:tcPr>
            <w:tcW w:type="dxa" w:w="39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Purpose</w:t>
            </w:r>
          </w:p>
        </w:tc>
        <w:tc>
          <w:tcPr>
            <w:tcW w:type="dxa" w:w="22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Time</w:t>
            </w:r>
          </w:p>
        </w:tc>
      </w:tr>
      <w:tr>
        <w:trPr>
          <w:tblHeader w:val="false"/>
        </w:trPr>
        <w:tc>
          <w:tcPr>
            <w:tcW w:type="dxa" w:w="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Load Basin Registry</w:t>
            </w:r>
          </w:p>
        </w:tc>
        <w:tc>
          <w:tcPr>
            <w:tcW w:type="dxa" w:w="39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Load 26 basins on world map</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 sec</w:t>
            </w:r>
          </w:p>
        </w:tc>
      </w:tr>
      <w:tr>
        <w:trPr>
          <w:tblHeader w:val="false"/>
        </w:trPr>
        <w:tc>
          <w:tcPr>
            <w:tcW w:type="dxa" w:w="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TDI/ATDI Visualiser</w:t>
            </w:r>
          </w:p>
        </w:tc>
        <w:tc>
          <w:tcPr>
            <w:tcW w:type="dxa" w:w="39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Colour basins by risk level</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 sec</w:t>
            </w:r>
          </w:p>
        </w:tc>
      </w:tr>
      <w:tr>
        <w:trPr>
          <w:tblHeader w:val="false"/>
        </w:trPr>
        <w:tc>
          <w:tcPr>
            <w:tcW w:type="dxa" w:w="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UNWC Legal Layer</w:t>
            </w:r>
          </w:p>
        </w:tc>
        <w:tc>
          <w:tcPr>
            <w:tcW w:type="dxa" w:w="39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Add treaty compliance layer</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 sec</w:t>
            </w:r>
          </w:p>
        </w:tc>
      </w:tr>
      <w:tr>
        <w:trPr>
          <w:tblHeader w:val="false"/>
        </w:trPr>
        <w:tc>
          <w:tcPr>
            <w:tcW w:type="dxa" w:w="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GRDC Stations Overlay</w:t>
            </w:r>
          </w:p>
        </w:tc>
        <w:tc>
          <w:tcPr>
            <w:tcW w:type="dxa" w:w="39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Load discharge stations</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 sec</w:t>
            </w:r>
          </w:p>
        </w:tc>
      </w:tr>
      <w:tr>
        <w:trPr>
          <w:tblHeader w:val="false"/>
        </w:trPr>
        <w:tc>
          <w:tcPr>
            <w:tcW w:type="dxa" w:w="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GEE Script Generator</w:t>
            </w:r>
          </w:p>
        </w:tc>
        <w:tc>
          <w:tcPr>
            <w:tcW w:type="dxa" w:w="39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Generate 9+ satellite scripts</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 min</w:t>
            </w:r>
          </w:p>
        </w:tc>
      </w:tr>
      <w:tr>
        <w:trPr>
          <w:tblHeader w:val="false"/>
        </w:trPr>
        <w:tc>
          <w:tcPr>
            <w:tcW w:type="dxa" w:w="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Dashboard Dialog</w:t>
            </w:r>
          </w:p>
        </w:tc>
        <w:tc>
          <w:tcPr>
            <w:tcW w:type="dxa" w:w="39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Per-basin detailed analysis</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 min</w:t>
            </w:r>
          </w:p>
        </w:tc>
      </w:tr>
      <w:tr>
        <w:trPr>
          <w:tblHeader w:val="false"/>
        </w:trPr>
        <w:tc>
          <w:tcPr>
            <w:tcW w:type="dxa" w:w="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Conflict Index</w:t>
            </w:r>
          </w:p>
        </w:tc>
        <w:tc>
          <w:tcPr>
            <w:tcW w:type="dxa" w:w="39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Rank all 26 basins by CI</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10 sec</w:t>
            </w:r>
          </w:p>
        </w:tc>
      </w:tr>
      <w:tr>
        <w:trPr>
          <w:tblHeader w:val="false"/>
        </w:trPr>
        <w:tc>
          <w:tcPr>
            <w:tcW w:type="dxa" w:w="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8</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Negotiation AI</w:t>
            </w:r>
          </w:p>
        </w:tc>
        <w:tc>
          <w:tcPr>
            <w:tcW w:type="dxa" w:w="39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Predict negotiation outcome</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30 sec</w:t>
            </w:r>
          </w:p>
        </w:tc>
      </w:tr>
      <w:tr>
        <w:trPr>
          <w:tblHeader w:val="false"/>
        </w:trPr>
        <w:tc>
          <w:tcPr>
            <w:tcW w:type="dxa" w:w="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9</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WebGIS Map Generator</w:t>
            </w:r>
          </w:p>
        </w:tc>
        <w:tc>
          <w:tcPr>
            <w:tcW w:type="dxa" w:w="39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Generate offline HTML map</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15 sec</w:t>
            </w:r>
          </w:p>
        </w:tc>
      </w:tr>
      <w:tr>
        <w:trPr>
          <w:tblHeader w:val="false"/>
        </w:trPr>
        <w:tc>
          <w:tcPr>
            <w:tcW w:type="dxa" w:w="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10</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Export Basin Data</w:t>
            </w:r>
          </w:p>
        </w:tc>
        <w:tc>
          <w:tcPr>
            <w:tcW w:type="dxa" w:w="39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GeoJSON / SHP / CSV export</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10 sec</w:t>
            </w:r>
          </w:p>
        </w:tc>
      </w:tr>
      <w:tr>
        <w:trPr>
          <w:tblHeader w:val="false"/>
        </w:trPr>
        <w:tc>
          <w:tcPr>
            <w:tcW w:type="dxa" w:w="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11</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Basin Panel (dockable)</w:t>
            </w:r>
          </w:p>
        </w:tc>
        <w:tc>
          <w:tcPr>
            <w:tcW w:type="dxa" w:w="39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Live dockable dashboard</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 sec</w:t>
            </w:r>
          </w:p>
        </w:tc>
      </w:tr>
      <w:tr>
        <w:trPr>
          <w:tblHeader w:val="false"/>
        </w:trPr>
        <w:tc>
          <w:tcPr>
            <w:tcW w:type="dxa" w:w="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12</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ICJ/PCA Dossier</w:t>
            </w:r>
          </w:p>
        </w:tc>
        <w:tc>
          <w:tcPr>
            <w:tcW w:type="dxa" w:w="39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Full legal dossier export</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 sec</w:t>
            </w:r>
          </w:p>
        </w:tc>
      </w:tr>
      <w:tr>
        <w:trPr>
          <w:tblHeader w:val="false"/>
        </w:trPr>
        <w:tc>
          <w:tcPr>
            <w:tcW w:type="dxa" w:w="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13</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About HSAE v6.0.3</w:t>
            </w:r>
          </w:p>
        </w:tc>
        <w:tc>
          <w:tcPr>
            <w:tcW w:type="dxa" w:w="39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Plugin info + BibTeX citation</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 sec</w:t>
            </w:r>
          </w:p>
        </w:tc>
      </w:tr>
      <w:tr>
        <w:trPr>
          <w:tblHeader w:val="false"/>
        </w:trPr>
        <w:tc>
          <w:tcPr>
            <w:tcW w:type="dxa" w:w="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14</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Basin Risk Map [NEW]</w:t>
            </w:r>
          </w:p>
        </w:tc>
        <w:tc>
          <w:tcPr>
            <w:tcW w:type="dxa" w:w="39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Leaflet map inside QGIS</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 sec</w:t>
            </w:r>
          </w:p>
        </w:tc>
      </w:tr>
      <w:tr>
        <w:trPr>
          <w:tblHeader w:val="false"/>
        </w:trPr>
        <w:tc>
          <w:tcPr>
            <w:tcW w:type="dxa" w:w="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15</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Uncertainty Analysis [NEW]</w:t>
            </w:r>
          </w:p>
        </w:tc>
        <w:tc>
          <w:tcPr>
            <w:tcW w:type="dxa" w:w="39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95% CI + Sobol sensitivity</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 sec</w:t>
            </w:r>
          </w:p>
        </w:tc>
      </w:tr>
      <w:tr>
        <w:trPr>
          <w:tblHeader w:val="false"/>
        </w:trPr>
        <w:tc>
          <w:tcPr>
            <w:tcW w:type="dxa" w:w="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16</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Treaty Analysis ATCI [NEW]</w:t>
            </w:r>
          </w:p>
        </w:tc>
        <w:tc>
          <w:tcPr>
            <w:tcW w:type="dxa" w:w="39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ATCI + 10 UNWC articles</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 sec</w:t>
            </w:r>
          </w:p>
        </w:tc>
      </w:tr>
    </w:tbl>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Tool 1 -- Load Basin Registry</w:t>
      </w:r>
    </w:p>
    <w:p>
      <w:pPr>
        <w:spacing w:after="85" w:before="0"/>
        <w:jc w:val="left"/>
      </w:pPr>
      <w:r>
        <w:rPr>
          <w:rFonts w:ascii="Arial" w:cs="Arial" w:eastAsia="Arial" w:hAnsi="Arial"/>
          <w:b/>
          <w:bCs/>
          <w:i w:val="false"/>
          <w:iCs w:val="false"/>
          <w:color w:val="061F4A"/>
          <w:sz w:val="20"/>
          <w:szCs w:val="20"/>
        </w:rPr>
        <w:t xml:space="preserve">Purpose: </w:t>
      </w:r>
      <w:r>
        <w:rPr>
          <w:rFonts w:ascii="Arial" w:cs="Arial" w:eastAsia="Arial" w:hAnsi="Arial"/>
          <w:b w:val="false"/>
          <w:bCs w:val="false"/>
          <w:i w:val="false"/>
          <w:iCs w:val="false"/>
          <w:color w:val="1A202C"/>
          <w:sz w:val="20"/>
          <w:szCs w:val="20"/>
        </w:rPr>
        <w:t xml:space="preserve">Loads all 26 basins from built-in basins_50.json as a QGIS point layer with ATDI, HIFD, CI, P_negotiation attributes.</w:t>
      </w:r>
    </w:p>
    <w:p>
      <w:pPr>
        <w:pStyle w:val="ListParagraph"/>
        <w:numPr>
          <w:ilvl w:val="0"/>
          <w:numId w:val="3"/>
        </w:numPr>
        <w:spacing w:after="55"/>
      </w:pPr>
      <w:r>
        <w:rPr>
          <w:rFonts w:ascii="Arial" w:cs="Arial" w:eastAsia="Arial" w:hAnsi="Arial"/>
          <w:b w:val="false"/>
          <w:bCs w:val="false"/>
          <w:i w:val="false"/>
          <w:iCs w:val="false"/>
          <w:color w:val="1A202C"/>
          <w:sz w:val="20"/>
          <w:szCs w:val="20"/>
        </w:rPr>
        <w:t xml:space="preserve">Click toolbar button 1 --&gt; layer 'HSAE Basin Registry (26 basins)' appears in Layers panel</w:t>
      </w:r>
    </w:p>
    <w:p>
      <w:pPr>
        <w:pStyle w:val="ListParagraph"/>
        <w:numPr>
          <w:ilvl w:val="0"/>
          <w:numId w:val="3"/>
        </w:numPr>
        <w:spacing w:after="55"/>
      </w:pPr>
      <w:r>
        <w:rPr>
          <w:rFonts w:ascii="Arial" w:cs="Arial" w:eastAsia="Arial" w:hAnsi="Arial"/>
          <w:b w:val="false"/>
          <w:bCs w:val="false"/>
          <w:i w:val="false"/>
          <w:iCs w:val="false"/>
          <w:color w:val="1A202C"/>
          <w:sz w:val="20"/>
          <w:szCs w:val="20"/>
        </w:rPr>
        <w:t xml:space="preserve">Right-click layer --&gt; Zoom to Layer to see all basins</w:t>
      </w:r>
    </w:p>
    <w:p>
      <w:pPr>
        <w:pStyle w:val="ListParagraph"/>
        <w:numPr>
          <w:ilvl w:val="0"/>
          <w:numId w:val="3"/>
        </w:numPr>
        <w:spacing w:after="55"/>
      </w:pPr>
      <w:r>
        <w:rPr>
          <w:rFonts w:ascii="Arial" w:cs="Arial" w:eastAsia="Arial" w:hAnsi="Arial"/>
          <w:b w:val="false"/>
          <w:bCs w:val="false"/>
          <w:i w:val="false"/>
          <w:iCs w:val="false"/>
          <w:color w:val="1A202C"/>
          <w:sz w:val="20"/>
          <w:szCs w:val="20"/>
        </w:rPr>
        <w:t xml:space="preserve">Press F6 to open Attribute Table -- inspect ATDI, HIFD, CI, P_negotiation</w:t>
      </w:r>
    </w:p>
    <w:p>
      <w:pPr>
        <w:pBdr>
          <w:top w:val="nil"/>
          <w:left w:val="thick" w:color="276749" w:sz="18"/>
          <w:bottom w:val="nil"/>
          <w:right w:val="nil"/>
        </w:pBdr>
        <w:shd w:fill="F0FFF4" w:val="clear"/>
        <w:spacing w:after="60" w:before="60"/>
        <w:ind w:left="280"/>
        <w:jc w:val="left"/>
      </w:pPr>
      <w:r>
        <w:rPr>
          <w:rFonts w:ascii="Arial" w:cs="Arial" w:eastAsia="Arial" w:hAnsi="Arial"/>
          <w:b w:val="false"/>
          <w:bCs w:val="false"/>
          <w:i w:val="false"/>
          <w:iCs w:val="false"/>
          <w:color w:val="1C4532"/>
          <w:sz w:val="19"/>
          <w:szCs w:val="19"/>
        </w:rPr>
        <w:t xml:space="preserve">TIP:    Apply Tool 2 immediately to colour basins by ATDI risk level.</w:t>
      </w:r>
    </w:p>
    <w:p>
      <w:pPr>
        <w:pBdr>
          <w:top w:val="nil"/>
          <w:left w:val="thick" w:color="553C9A" w:sz="18"/>
          <w:bottom w:val="nil"/>
          <w:right w:val="nil"/>
        </w:pBdr>
        <w:shd w:fill="FAF5FF" w:val="clear"/>
        <w:spacing w:after="60" w:before="60"/>
        <w:ind w:left="280"/>
        <w:jc w:val="left"/>
      </w:pPr>
      <w:r>
        <w:rPr>
          <w:rFonts w:ascii="Arial" w:cs="Arial" w:eastAsia="Arial" w:hAnsi="Arial"/>
          <w:b w:val="false"/>
          <w:bCs w:val="false"/>
          <w:i w:val="false"/>
          <w:iCs w:val="false"/>
          <w:color w:val="44337A"/>
          <w:sz w:val="19"/>
          <w:szCs w:val="19"/>
        </w:rPr>
        <w:t xml:space="preserve">RESULT: 26 basins loaded: Africa, Middle East, Central Asia, South Asia, SE Asia, Europe, Americas.</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Tool 2 -- TDI/ATDI Visualiser</w:t>
      </w:r>
    </w:p>
    <w:p>
      <w:pPr>
        <w:spacing w:after="85" w:before="0"/>
        <w:jc w:val="left"/>
      </w:pPr>
      <w:r>
        <w:rPr>
          <w:rFonts w:ascii="Arial" w:cs="Arial" w:eastAsia="Arial" w:hAnsi="Arial"/>
          <w:b/>
          <w:bCs/>
          <w:i w:val="false"/>
          <w:iCs w:val="false"/>
          <w:color w:val="061F4A"/>
          <w:sz w:val="20"/>
          <w:szCs w:val="20"/>
        </w:rPr>
        <w:t xml:space="preserve">Purpose: </w:t>
      </w:r>
      <w:r>
        <w:rPr>
          <w:rFonts w:ascii="Arial" w:cs="Arial" w:eastAsia="Arial" w:hAnsi="Arial"/>
          <w:b w:val="false"/>
          <w:bCs w:val="false"/>
          <w:i w:val="false"/>
          <w:iCs w:val="false"/>
          <w:color w:val="1A202C"/>
          <w:sz w:val="20"/>
          <w:szCs w:val="20"/>
        </w:rPr>
        <w:t xml:space="preserve">Applies graduated colour renderer based on ATDI values -- maps each basin to its UNWC 1997 legal zone.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200"/>
        <w:gridCol w:w="1500"/>
        <w:gridCol w:w="2000"/>
        <w:gridCol w:w="4300"/>
      </w:tblGrid>
      <w:tr>
        <w:trPr>
          <w:tblHeader/>
        </w:trPr>
        <w:tc>
          <w:tcPr>
            <w:tcW w:type="dxa" w:w="12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ATDI Range</w:t>
            </w:r>
          </w:p>
        </w:tc>
        <w:tc>
          <w:tcPr>
            <w:tcW w:type="dxa" w:w="1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Colour</w:t>
            </w:r>
          </w:p>
        </w:tc>
        <w:tc>
          <w:tcPr>
            <w:tcW w:type="dxa" w:w="2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UNWC Zone</w:t>
            </w:r>
          </w:p>
        </w:tc>
        <w:tc>
          <w:tcPr>
            <w:tcW w:type="dxa" w:w="43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Legal Obligation</w:t>
            </w:r>
          </w:p>
        </w:tc>
      </w:tr>
      <w:tr>
        <w:trPr>
          <w:tblHeader w:val="false"/>
        </w:trPr>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0-20%</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Green</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Compliant</w:t>
            </w:r>
          </w:p>
        </w:tc>
        <w:tc>
          <w:tcPr>
            <w:tcW w:type="dxa" w:w="43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None required</w:t>
            </w:r>
          </w:p>
        </w:tc>
      </w:tr>
      <w:tr>
        <w:trPr>
          <w:tblHeader w:val="false"/>
        </w:trPr>
        <w:tc>
          <w:tcPr>
            <w:tcW w:type="dxa" w:w="1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20-40%</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Yellow</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 7 NSH</w:t>
            </w:r>
          </w:p>
        </w:tc>
        <w:tc>
          <w:tcPr>
            <w:tcW w:type="dxa" w:w="43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Notify downstream states</w:t>
            </w:r>
          </w:p>
        </w:tc>
      </w:tr>
      <w:tr>
        <w:trPr>
          <w:tblHeader w:val="false"/>
        </w:trPr>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40-55%</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Orange</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 9 Data Share</w:t>
            </w:r>
          </w:p>
        </w:tc>
        <w:tc>
          <w:tcPr>
            <w:tcW w:type="dxa" w:w="43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Data sharing + consultation</w:t>
            </w:r>
          </w:p>
        </w:tc>
      </w:tr>
      <w:tr>
        <w:trPr>
          <w:tblHeader w:val="false"/>
        </w:trPr>
        <w:tc>
          <w:tcPr>
            <w:tcW w:type="dxa" w:w="1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55-70%</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Red</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 33 Dispute</w:t>
            </w:r>
          </w:p>
        </w:tc>
        <w:tc>
          <w:tcPr>
            <w:tcW w:type="dxa" w:w="43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Formal dispute resolution</w:t>
            </w:r>
          </w:p>
        </w:tc>
      </w:tr>
      <w:tr>
        <w:trPr>
          <w:tblHeader w:val="false"/>
        </w:trPr>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&gt;=70%</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Purple</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 35 Emergency</w:t>
            </w:r>
          </w:p>
        </w:tc>
        <w:tc>
          <w:tcPr>
            <w:tcW w:type="dxa" w:w="43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Immediate action required</w:t>
            </w:r>
          </w:p>
        </w:tc>
      </w:tr>
    </w:tbl>
    <w:p>
      <w:pPr>
        <w:pBdr>
          <w:top w:val="nil"/>
          <w:left w:val="thick" w:color="C05621" w:sz="18"/>
          <w:bottom w:val="nil"/>
          <w:right w:val="nil"/>
        </w:pBdr>
        <w:shd w:fill="FFFBEB" w:val="clear"/>
        <w:spacing w:after="60" w:before="60"/>
        <w:ind w:left="280"/>
        <w:jc w:val="left"/>
      </w:pPr>
      <w:r>
        <w:rPr>
          <w:rFonts w:ascii="Arial" w:cs="Arial" w:eastAsia="Arial" w:hAnsi="Arial"/>
          <w:b w:val="false"/>
          <w:bCs w:val="false"/>
          <w:i w:val="false"/>
          <w:iCs w:val="false"/>
          <w:color w:val="7B341E"/>
          <w:sz w:val="19"/>
          <w:szCs w:val="19"/>
        </w:rPr>
        <w:t xml:space="preserve">WARN:   Single-click the Basin Registry layer in Layers panel FIRST, then click ATDI Visualiser button.</w:t>
      </w:r>
    </w:p>
    <w:p>
      <w:pPr>
        <w:pBdr>
          <w:top w:val="nil"/>
          <w:left w:val="thick" w:color="553C9A" w:sz="18"/>
          <w:bottom w:val="nil"/>
          <w:right w:val="nil"/>
        </w:pBdr>
        <w:shd w:fill="FAF5FF" w:val="clear"/>
        <w:spacing w:after="60" w:before="60"/>
        <w:ind w:left="280"/>
        <w:jc w:val="left"/>
      </w:pPr>
      <w:r>
        <w:rPr>
          <w:rFonts w:ascii="Arial" w:cs="Arial" w:eastAsia="Arial" w:hAnsi="Arial"/>
          <w:b w:val="false"/>
          <w:bCs w:val="false"/>
          <w:i w:val="false"/>
          <w:iCs w:val="false"/>
          <w:color w:val="44337A"/>
          <w:sz w:val="19"/>
          <w:szCs w:val="19"/>
        </w:rPr>
        <w:t xml:space="preserve">RESULT: Blue Nile (GERD): ORANGE -- ATDI 43.5% -- Article 7 No-Significant-Harm zone.</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Tool 3 -- UNWC Legal Layer</w:t>
      </w:r>
    </w:p>
    <w:p>
      <w:pPr>
        <w:spacing w:after="85" w:before="0"/>
        <w:jc w:val="left"/>
      </w:pPr>
      <w:r>
        <w:rPr>
          <w:rFonts w:ascii="Arial" w:cs="Arial" w:eastAsia="Arial" w:hAnsi="Arial"/>
          <w:b/>
          <w:bCs/>
          <w:i w:val="false"/>
          <w:iCs w:val="false"/>
          <w:color w:val="061F4A"/>
          <w:sz w:val="20"/>
          <w:szCs w:val="20"/>
        </w:rPr>
        <w:t xml:space="preserve">Purpose: </w:t>
      </w:r>
      <w:r>
        <w:rPr>
          <w:rFonts w:ascii="Arial" w:cs="Arial" w:eastAsia="Arial" w:hAnsi="Arial"/>
          <w:b w:val="false"/>
          <w:bCs w:val="false"/>
          <w:i w:val="false"/>
          <w:iCs w:val="false"/>
          <w:color w:val="1A202C"/>
          <w:sz w:val="20"/>
          <w:szCs w:val="20"/>
        </w:rPr>
        <w:t xml:space="preserve">Creates categorised risk layer showing which UNWC 1997 article is triggered for each basin.</w:t>
      </w:r>
    </w:p>
    <w:p>
      <w:pPr>
        <w:pStyle w:val="ListParagraph"/>
        <w:numPr>
          <w:ilvl w:val="0"/>
          <w:numId w:val="3"/>
        </w:numPr>
        <w:spacing w:after="55"/>
      </w:pPr>
      <w:r>
        <w:rPr>
          <w:rFonts w:ascii="Arial" w:cs="Arial" w:eastAsia="Arial" w:hAnsi="Arial"/>
          <w:b w:val="false"/>
          <w:bCs w:val="false"/>
          <w:i w:val="false"/>
          <w:iCs w:val="false"/>
          <w:color w:val="1A202C"/>
          <w:sz w:val="20"/>
          <w:szCs w:val="20"/>
        </w:rPr>
        <w:t xml:space="preserve">Click button 3 --&gt; 'HSAE UNWC Legal Risk' layer appears above Basin Registry</w:t>
      </w:r>
    </w:p>
    <w:p>
      <w:pPr>
        <w:pStyle w:val="ListParagraph"/>
        <w:numPr>
          <w:ilvl w:val="0"/>
          <w:numId w:val="3"/>
        </w:numPr>
        <w:spacing w:after="55"/>
      </w:pPr>
      <w:r>
        <w:rPr>
          <w:rFonts w:ascii="Arial" w:cs="Arial" w:eastAsia="Arial" w:hAnsi="Arial"/>
          <w:b w:val="false"/>
          <w:bCs w:val="false"/>
          <w:i w:val="false"/>
          <w:iCs w:val="false"/>
          <w:color w:val="1A202C"/>
          <w:sz w:val="20"/>
          <w:szCs w:val="20"/>
        </w:rPr>
        <w:t xml:space="preserve">Use Identify tool (I) --&gt; click basin --&gt; see UNWC_Article, Risk_Level, Obligation</w:t>
      </w:r>
    </w:p>
    <w:p>
      <w:pPr>
        <w:pBdr>
          <w:top w:val="nil"/>
          <w:left w:val="thick" w:color="0B3D8E" w:sz="18"/>
          <w:bottom w:val="nil"/>
          <w:right w:val="nil"/>
        </w:pBdr>
        <w:shd w:fill="EBF4FF" w:val="clear"/>
        <w:spacing w:after="60" w:before="60"/>
        <w:ind w:left="280"/>
        <w:jc w:val="left"/>
      </w:pPr>
      <w:r>
        <w:rPr>
          <w:rFonts w:ascii="Arial" w:cs="Arial" w:eastAsia="Arial" w:hAnsi="Arial"/>
          <w:b w:val="false"/>
          <w:bCs w:val="false"/>
          <w:i w:val="false"/>
          <w:iCs w:val="false"/>
          <w:color w:val="1A365D"/>
          <w:sz w:val="19"/>
          <w:szCs w:val="19"/>
        </w:rPr>
        <w:t xml:space="preserve">NOTE:   Articles 5, 7, 9, 33, and 35 are all mapped to specific ATDI and HIFD thresholds.</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Tool 4 -- GRDC Stations Overlay</w:t>
      </w:r>
    </w:p>
    <w:p>
      <w:pPr>
        <w:spacing w:after="85" w:before="0"/>
        <w:jc w:val="left"/>
      </w:pPr>
      <w:r>
        <w:rPr>
          <w:rFonts w:ascii="Arial" w:cs="Arial" w:eastAsia="Arial" w:hAnsi="Arial"/>
          <w:b/>
          <w:bCs/>
          <w:i w:val="false"/>
          <w:iCs w:val="false"/>
          <w:color w:val="061F4A"/>
          <w:sz w:val="20"/>
          <w:szCs w:val="20"/>
        </w:rPr>
        <w:t xml:space="preserve">Purpose: </w:t>
      </w:r>
      <w:r>
        <w:rPr>
          <w:rFonts w:ascii="Arial" w:cs="Arial" w:eastAsia="Arial" w:hAnsi="Arial"/>
          <w:b w:val="false"/>
          <w:bCs w:val="false"/>
          <w:i w:val="false"/>
          <w:iCs w:val="false"/>
          <w:color w:val="1A202C"/>
          <w:sz w:val="20"/>
          <w:szCs w:val="20"/>
        </w:rPr>
        <w:t xml:space="preserve">Loads 10 key GRDC discharge monitoring stations with access status information.</w:t>
      </w:r>
    </w:p>
    <w:p>
      <w:pPr>
        <w:pStyle w:val="ListParagraph"/>
        <w:numPr>
          <w:ilvl w:val="0"/>
          <w:numId w:val="3"/>
        </w:numPr>
        <w:spacing w:after="55"/>
      </w:pPr>
      <w:r>
        <w:rPr>
          <w:rFonts w:ascii="Arial" w:cs="Arial" w:eastAsia="Arial" w:hAnsi="Arial"/>
          <w:b w:val="false"/>
          <w:bCs w:val="false"/>
          <w:i w:val="false"/>
          <w:iCs w:val="false"/>
          <w:color w:val="1A202C"/>
          <w:sz w:val="20"/>
          <w:szCs w:val="20"/>
        </w:rPr>
        <w:t xml:space="preserve">Click button 4 --&gt; blue triangle markers appear on map</w:t>
      </w:r>
    </w:p>
    <w:p>
      <w:pPr>
        <w:pStyle w:val="ListParagraph"/>
        <w:numPr>
          <w:ilvl w:val="0"/>
          <w:numId w:val="3"/>
        </w:numPr>
        <w:spacing w:after="55"/>
      </w:pPr>
      <w:r>
        <w:rPr>
          <w:rFonts w:ascii="Arial" w:cs="Arial" w:eastAsia="Arial" w:hAnsi="Arial"/>
          <w:b w:val="false"/>
          <w:bCs w:val="false"/>
          <w:i w:val="false"/>
          <w:iCs w:val="false"/>
          <w:color w:val="1A202C"/>
          <w:sz w:val="20"/>
          <w:szCs w:val="20"/>
        </w:rPr>
        <w:t xml:space="preserve">Identify (I) --&gt; click El Diem: GRDC_1763100, Area=174,000 km2, Status=RESTRICTED</w:t>
      </w:r>
    </w:p>
    <w:p>
      <w:pPr>
        <w:pBdr>
          <w:top w:val="nil"/>
          <w:left w:val="thick" w:color="0B3D8E" w:sz="18"/>
          <w:bottom w:val="nil"/>
          <w:right w:val="nil"/>
        </w:pBdr>
        <w:shd w:fill="EBF4FF" w:val="clear"/>
        <w:spacing w:after="60" w:before="60"/>
        <w:ind w:left="280"/>
        <w:jc w:val="left"/>
      </w:pPr>
      <w:r>
        <w:rPr>
          <w:rFonts w:ascii="Arial" w:cs="Arial" w:eastAsia="Arial" w:hAnsi="Arial"/>
          <w:b w:val="false"/>
          <w:bCs w:val="false"/>
          <w:i w:val="false"/>
          <w:iCs w:val="false"/>
          <w:color w:val="1A365D"/>
          <w:sz w:val="19"/>
          <w:szCs w:val="19"/>
        </w:rPr>
        <w:t xml:space="preserve">NOTE:   El Diem restricted -- HSAE uses GloFAS ERA5 v4 proxy (NSE=0.63). GRDC Request ID: 78949 pending.</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Tool 5 -- GEE Script Generator (9+ Sensors)</w:t>
      </w:r>
    </w:p>
    <w:p>
      <w:pPr>
        <w:spacing w:after="85" w:before="0"/>
        <w:jc w:val="left"/>
      </w:pPr>
      <w:r>
        <w:rPr>
          <w:rFonts w:ascii="Arial" w:cs="Arial" w:eastAsia="Arial" w:hAnsi="Arial"/>
          <w:b/>
          <w:bCs/>
          <w:i w:val="false"/>
          <w:iCs w:val="false"/>
          <w:color w:val="061F4A"/>
          <w:sz w:val="20"/>
          <w:szCs w:val="20"/>
        </w:rPr>
        <w:t xml:space="preserve">Purpose: </w:t>
      </w:r>
      <w:r>
        <w:rPr>
          <w:rFonts w:ascii="Arial" w:cs="Arial" w:eastAsia="Arial" w:hAnsi="Arial"/>
          <w:b w:val="false"/>
          <w:bCs w:val="false"/>
          <w:i w:val="false"/>
          <w:iCs w:val="false"/>
          <w:color w:val="1A202C"/>
          <w:sz w:val="20"/>
          <w:szCs w:val="20"/>
        </w:rPr>
        <w:t xml:space="preserve">Generates ready-to-run GEE JavaScript for all satellite sensors with Lee speckle filtering (Sentinel-1) and QA60 cloud masking (Sentinel-2).</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500"/>
        <w:gridCol w:w="3000"/>
        <w:gridCol w:w="3500"/>
      </w:tblGrid>
      <w:tr>
        <w:trPr>
          <w:tblHeader/>
        </w:trPr>
        <w:tc>
          <w:tcPr>
            <w:tcW w:type="dxa" w:w="2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Sensor</w:t>
            </w:r>
          </w:p>
        </w:tc>
        <w:tc>
          <w:tcPr>
            <w:tcW w:type="dxa" w:w="3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Variable</w:t>
            </w:r>
          </w:p>
        </w:tc>
        <w:tc>
          <w:tcPr>
            <w:tcW w:type="dxa" w:w="3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Archive</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GPM IMERG V07</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Precipitation mm/day</w:t>
            </w:r>
          </w:p>
        </w:tc>
        <w:tc>
          <w:tcPr>
            <w:tcW w:type="dxa" w:w="3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2000-present</w:t>
            </w:r>
          </w:p>
        </w:tc>
      </w:tr>
      <w:tr>
        <w:trPr>
          <w:tblHeader w:val="false"/>
        </w:trPr>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GRACE-FO MASCON RL06v4</w:t>
            </w:r>
          </w:p>
        </w:tc>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TWS anomaly cm</w:t>
            </w:r>
          </w:p>
        </w:tc>
        <w:tc>
          <w:tcPr>
            <w:tcW w:type="dxa" w:w="3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2018-present</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SMAP SPL3SMP</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Soil moisture m3/m3</w:t>
            </w:r>
          </w:p>
        </w:tc>
        <w:tc>
          <w:tcPr>
            <w:tcW w:type="dxa" w:w="3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2015-present</w:t>
            </w:r>
          </w:p>
        </w:tc>
      </w:tr>
      <w:tr>
        <w:trPr>
          <w:tblHeader w:val="false"/>
        </w:trPr>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Sentinel-1 GRD (Lee filter)</w:t>
            </w:r>
          </w:p>
        </w:tc>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SAR VV backscatter dB</w:t>
            </w:r>
          </w:p>
        </w:tc>
        <w:tc>
          <w:tcPr>
            <w:tcW w:type="dxa" w:w="3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2014-present</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Sentinel-2 SR (QA60 mask)</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NDWI, NDVI</w:t>
            </w:r>
          </w:p>
        </w:tc>
        <w:tc>
          <w:tcPr>
            <w:tcW w:type="dxa" w:w="3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2015-present</w:t>
            </w:r>
          </w:p>
        </w:tc>
      </w:tr>
      <w:tr>
        <w:trPr>
          <w:tblHeader w:val="false"/>
        </w:trPr>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ERA5 ECMWF</w:t>
            </w:r>
          </w:p>
        </w:tc>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Air temperature C</w:t>
            </w:r>
          </w:p>
        </w:tc>
        <w:tc>
          <w:tcPr>
            <w:tcW w:type="dxa" w:w="3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1979-present</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Open-Meteo API</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 P, ET0, SM</w:t>
            </w:r>
          </w:p>
        </w:tc>
        <w:tc>
          <w:tcPr>
            <w:tcW w:type="dxa" w:w="3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1940-present</w:t>
            </w:r>
          </w:p>
        </w:tc>
      </w:tr>
      <w:tr>
        <w:trPr>
          <w:tblHeader w:val="false"/>
        </w:trPr>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MODIS MOD16A2</w:t>
            </w:r>
          </w:p>
        </w:tc>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Evapotranspiration mm/8day</w:t>
            </w:r>
          </w:p>
        </w:tc>
        <w:tc>
          <w:tcPr>
            <w:tcW w:type="dxa" w:w="3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2000-present</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VIIRS NTL</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Night lights proxy</w:t>
            </w:r>
          </w:p>
        </w:tc>
        <w:tc>
          <w:tcPr>
            <w:tcW w:type="dxa" w:w="3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2012-present</w:t>
            </w:r>
          </w:p>
        </w:tc>
      </w:tr>
    </w:tbl>
    <w:p>
      <w:pPr>
        <w:pBdr>
          <w:top w:val="nil"/>
          <w:left w:val="thick" w:color="276749" w:sz="18"/>
          <w:bottom w:val="nil"/>
          <w:right w:val="nil"/>
        </w:pBdr>
        <w:shd w:fill="F0FFF4" w:val="clear"/>
        <w:spacing w:after="60" w:before="60"/>
        <w:ind w:left="280"/>
        <w:jc w:val="left"/>
      </w:pPr>
      <w:r>
        <w:rPr>
          <w:rFonts w:ascii="Arial" w:cs="Arial" w:eastAsia="Arial" w:hAnsi="Arial"/>
          <w:b w:val="false"/>
          <w:bCs w:val="false"/>
          <w:i w:val="false"/>
          <w:iCs w:val="false"/>
          <w:color w:val="1C4532"/>
          <w:sz w:val="19"/>
          <w:szCs w:val="19"/>
        </w:rPr>
        <w:t xml:space="preserve">TIP:    Save all 9 scripts to Desktop/HSAE_Results/GEE_Scripts/ for reuse.</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Tool 6 -- Dashboard Dialog</w:t>
      </w:r>
    </w:p>
    <w:p>
      <w:pPr>
        <w:spacing w:after="85" w:before="0"/>
        <w:jc w:val="left"/>
      </w:pPr>
      <w:r>
        <w:rPr>
          <w:rFonts w:ascii="Arial" w:cs="Arial" w:eastAsia="Arial" w:hAnsi="Arial"/>
          <w:b/>
          <w:bCs/>
          <w:i w:val="false"/>
          <w:iCs w:val="false"/>
          <w:color w:val="061F4A"/>
          <w:sz w:val="20"/>
          <w:szCs w:val="20"/>
        </w:rPr>
        <w:t xml:space="preserve">Purpose: </w:t>
      </w:r>
      <w:r>
        <w:rPr>
          <w:rFonts w:ascii="Arial" w:cs="Arial" w:eastAsia="Arial" w:hAnsi="Arial"/>
          <w:b w:val="false"/>
          <w:bCs w:val="false"/>
          <w:i w:val="false"/>
          <w:iCs w:val="false"/>
          <w:color w:val="1A202C"/>
          <w:sz w:val="20"/>
          <w:szCs w:val="20"/>
        </w:rPr>
        <w:t xml:space="preserve">Per-basin analysis dialog showing all 6 Alkedir indices, NSE, KGE, triggered UNWC articles, and recommended diplomatic strategy.</w:t>
      </w:r>
    </w:p>
    <w:p>
      <w:pPr>
        <w:pStyle w:val="ListParagraph"/>
        <w:numPr>
          <w:ilvl w:val="0"/>
          <w:numId w:val="3"/>
        </w:numPr>
        <w:spacing w:after="55"/>
      </w:pPr>
      <w:r>
        <w:rPr>
          <w:rFonts w:ascii="Arial" w:cs="Arial" w:eastAsia="Arial" w:hAnsi="Arial"/>
          <w:b w:val="false"/>
          <w:bCs w:val="false"/>
          <w:i w:val="false"/>
          <w:iCs w:val="false"/>
          <w:color w:val="1A202C"/>
          <w:sz w:val="20"/>
          <w:szCs w:val="20"/>
        </w:rPr>
        <w:t xml:space="preserve">Click button 6 --&gt; select basin --&gt; dashboard populates in &lt;1 second</w:t>
      </w:r>
    </w:p>
    <w:p>
      <w:pPr>
        <w:pStyle w:val="ListParagraph"/>
        <w:numPr>
          <w:ilvl w:val="0"/>
          <w:numId w:val="3"/>
        </w:numPr>
        <w:spacing w:after="55"/>
      </w:pPr>
      <w:r>
        <w:rPr>
          <w:rFonts w:ascii="Arial" w:cs="Arial" w:eastAsia="Arial" w:hAnsi="Arial"/>
          <w:b w:val="false"/>
          <w:bCs w:val="false"/>
          <w:i w:val="false"/>
          <w:iCs w:val="false"/>
          <w:color w:val="1A202C"/>
          <w:sz w:val="20"/>
          <w:szCs w:val="20"/>
        </w:rPr>
        <w:t xml:space="preserve">Click 'Export Report' --&gt; save as .txt</w:t>
      </w:r>
    </w:p>
    <w:p>
      <w:pPr>
        <w:pBdr>
          <w:top w:val="nil"/>
          <w:left w:val="thick" w:color="553C9A" w:sz="18"/>
          <w:bottom w:val="nil"/>
          <w:right w:val="nil"/>
        </w:pBdr>
        <w:shd w:fill="FAF5FF" w:val="clear"/>
        <w:spacing w:after="60" w:before="60"/>
        <w:ind w:left="280"/>
        <w:jc w:val="left"/>
      </w:pPr>
      <w:r>
        <w:rPr>
          <w:rFonts w:ascii="Arial" w:cs="Arial" w:eastAsia="Arial" w:hAnsi="Arial"/>
          <w:b w:val="false"/>
          <w:bCs w:val="false"/>
          <w:i w:val="false"/>
          <w:iCs w:val="false"/>
          <w:color w:val="44337A"/>
          <w:sz w:val="19"/>
          <w:szCs w:val="19"/>
        </w:rPr>
        <w:t xml:space="preserve">RESULT: Blue Nile: NSE=0.63, KGE=0.74, ATDI=43.5%, HIFD=20.0%, CI=0.44 HIGH, P(Neg.)=58%</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Tool 7 -- Conflict Index</w:t>
      </w:r>
    </w:p>
    <w:p>
      <w:pPr>
        <w:spacing w:after="85" w:before="0"/>
        <w:jc w:val="left"/>
      </w:pPr>
      <w:r>
        <w:rPr>
          <w:rFonts w:ascii="Arial" w:cs="Arial" w:eastAsia="Arial" w:hAnsi="Arial"/>
          <w:b/>
          <w:bCs/>
          <w:i w:val="false"/>
          <w:iCs w:val="false"/>
          <w:color w:val="061F4A"/>
          <w:sz w:val="20"/>
          <w:szCs w:val="20"/>
        </w:rPr>
        <w:t xml:space="preserve">Purpose: </w:t>
      </w:r>
      <w:r>
        <w:rPr>
          <w:rFonts w:ascii="Arial" w:cs="Arial" w:eastAsia="Arial" w:hAnsi="Arial"/>
          <w:b w:val="false"/>
          <w:bCs w:val="false"/>
          <w:i w:val="false"/>
          <w:iCs w:val="false"/>
          <w:color w:val="1A202C"/>
          <w:sz w:val="20"/>
          <w:szCs w:val="20"/>
        </w:rPr>
        <w:t xml:space="preserve">Computes Composite Conflict Index (CI) for all 26 basins simultaneously.</w:t>
      </w:r>
    </w:p>
    <w:p>
      <w:pPr>
        <w:pBdr>
          <w:top w:val="nil"/>
          <w:left w:val="thick" w:color="0B3D8E" w:sz="16"/>
          <w:bottom w:val="nil"/>
          <w:right w:val="nil"/>
        </w:pBdr>
        <w:shd w:fill="EDF2F7" w:val="clear"/>
        <w:spacing w:after="60" w:before="60"/>
        <w:ind w:left="280"/>
      </w:pPr>
      <w:r>
        <w:rPr>
          <w:rFonts w:ascii="Courier New" w:cs="Courier New" w:eastAsia="Courier New" w:hAnsi="Courier New"/>
          <w:color w:val="1A365D"/>
          <w:sz w:val="18"/>
          <w:szCs w:val="18"/>
        </w:rPr>
        <w:t xml:space="preserve">CI = 0.40*(ATDI/100) + 0.25*(dispute/4) + 0.20*(HIFD/100) + 0.15*(n_countries/6)</w:t>
      </w:r>
    </w:p>
    <w:p>
      <w:pPr>
        <w:pStyle w:val="ListParagraph"/>
        <w:numPr>
          <w:ilvl w:val="0"/>
          <w:numId w:val="3"/>
        </w:numPr>
        <w:spacing w:after="55"/>
      </w:pPr>
      <w:r>
        <w:rPr>
          <w:rFonts w:ascii="Arial" w:cs="Arial" w:eastAsia="Arial" w:hAnsi="Arial"/>
          <w:b w:val="false"/>
          <w:bCs w:val="false"/>
          <w:i w:val="false"/>
          <w:iCs w:val="false"/>
          <w:color w:val="1A202C"/>
          <w:sz w:val="20"/>
          <w:szCs w:val="20"/>
        </w:rPr>
        <w:t xml:space="preserve">Click button 7 --&gt; ~10 seconds --&gt; ranked table for all 26 basins</w:t>
      </w:r>
    </w:p>
    <w:p>
      <w:pPr>
        <w:pStyle w:val="ListParagraph"/>
        <w:numPr>
          <w:ilvl w:val="0"/>
          <w:numId w:val="3"/>
        </w:numPr>
        <w:spacing w:after="55"/>
      </w:pPr>
      <w:r>
        <w:rPr>
          <w:rFonts w:ascii="Arial" w:cs="Arial" w:eastAsia="Arial" w:hAnsi="Arial"/>
          <w:b w:val="false"/>
          <w:bCs w:val="false"/>
          <w:i w:val="false"/>
          <w:iCs w:val="false"/>
          <w:color w:val="1A202C"/>
          <w:sz w:val="20"/>
          <w:szCs w:val="20"/>
        </w:rPr>
        <w:t xml:space="preserve">Export CSV + Add to Map as graduated layer</w:t>
      </w:r>
    </w:p>
    <w:p>
      <w:pPr>
        <w:pBdr>
          <w:top w:val="nil"/>
          <w:left w:val="thick" w:color="553C9A" w:sz="18"/>
          <w:bottom w:val="nil"/>
          <w:right w:val="nil"/>
        </w:pBdr>
        <w:shd w:fill="FAF5FF" w:val="clear"/>
        <w:spacing w:after="60" w:before="60"/>
        <w:ind w:left="280"/>
        <w:jc w:val="left"/>
      </w:pPr>
      <w:r>
        <w:rPr>
          <w:rFonts w:ascii="Arial" w:cs="Arial" w:eastAsia="Arial" w:hAnsi="Arial"/>
          <w:b w:val="false"/>
          <w:bCs w:val="false"/>
          <w:i w:val="false"/>
          <w:iCs w:val="false"/>
          <w:color w:val="44337A"/>
          <w:sz w:val="19"/>
          <w:szCs w:val="19"/>
        </w:rPr>
        <w:t xml:space="preserve">RESULT: Top 3: Mekong 0.61 CRITICAL -- Vakhsh 0.58 CRITICAL -- Euphrates 0.51 HIGH</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Tool 8 -- Negotiation AI</w:t>
      </w:r>
    </w:p>
    <w:p>
      <w:pPr>
        <w:spacing w:after="85" w:before="0"/>
        <w:jc w:val="left"/>
      </w:pPr>
      <w:r>
        <w:rPr>
          <w:rFonts w:ascii="Arial" w:cs="Arial" w:eastAsia="Arial" w:hAnsi="Arial"/>
          <w:b/>
          <w:bCs/>
          <w:i w:val="false"/>
          <w:iCs w:val="false"/>
          <w:color w:val="061F4A"/>
          <w:sz w:val="20"/>
          <w:szCs w:val="20"/>
        </w:rPr>
        <w:t xml:space="preserve">Purpose: </w:t>
      </w:r>
      <w:r>
        <w:rPr>
          <w:rFonts w:ascii="Arial" w:cs="Arial" w:eastAsia="Arial" w:hAnsi="Arial"/>
          <w:b w:val="false"/>
          <w:bCs w:val="false"/>
          <w:i w:val="false"/>
          <w:iCs w:val="false"/>
          <w:color w:val="1A202C"/>
          <w:sz w:val="20"/>
          <w:szCs w:val="20"/>
        </w:rPr>
        <w:t xml:space="preserve">Predicts negotiation success probability using GBM trained on 478 historical TFDD/ICJ water dispute cases.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800"/>
        <w:gridCol w:w="2500"/>
        <w:gridCol w:w="2500"/>
        <w:gridCol w:w="2200"/>
      </w:tblGrid>
      <w:tr>
        <w:trPr>
          <w:tblHeader/>
        </w:trPr>
        <w:tc>
          <w:tcPr>
            <w:tcW w:type="dxa" w:w="18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P(Success)</w:t>
            </w:r>
          </w:p>
        </w:tc>
        <w:tc>
          <w:tcPr>
            <w:tcW w:type="dxa" w:w="2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Strategy</w:t>
            </w:r>
          </w:p>
        </w:tc>
        <w:tc>
          <w:tcPr>
            <w:tcW w:type="dxa" w:w="2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Pathway</w:t>
            </w:r>
          </w:p>
        </w:tc>
        <w:tc>
          <w:tcPr>
            <w:tcW w:type="dxa" w:w="22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Example</w:t>
            </w:r>
          </w:p>
        </w:tc>
      </w:tr>
      <w:tr>
        <w:trPr>
          <w:tblHeader w:val="false"/>
        </w:trPr>
        <w:tc>
          <w:tcPr>
            <w:tcW w:type="dxa" w:w="1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&gt;=65%</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Direct Negotiation</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 8 Good Faith</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Columbia (P=74%)</w:t>
            </w:r>
          </w:p>
        </w:tc>
      </w:tr>
      <w:tr>
        <w:trPr>
          <w:tblHeader w:val="false"/>
        </w:trPr>
        <w:tc>
          <w:tcPr>
            <w:tcW w:type="dxa" w:w="1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40-65%</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Mediation</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 17 Third-Party</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Blue Nile (P=58%)</w:t>
            </w:r>
          </w:p>
        </w:tc>
      </w:tr>
      <w:tr>
        <w:trPr>
          <w:tblHeader w:val="false"/>
        </w:trPr>
        <w:tc>
          <w:tcPr>
            <w:tcW w:type="dxa" w:w="1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25-40%</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PCA Arbitration</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 33 PCA</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Vakhsh (P=31%)</w:t>
            </w:r>
          </w:p>
        </w:tc>
      </w:tr>
      <w:tr>
        <w:trPr>
          <w:tblHeader w:val="false"/>
        </w:trPr>
        <w:tc>
          <w:tcPr>
            <w:tcW w:type="dxa" w:w="1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&lt;25%</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ICJ Referral</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International Court</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Extreme cases</w:t>
            </w:r>
          </w:p>
        </w:tc>
      </w:tr>
    </w:tbl>
    <w:p>
      <w:pPr>
        <w:pBdr>
          <w:top w:val="nil"/>
          <w:left w:val="thick" w:color="553C9A" w:sz="18"/>
          <w:bottom w:val="nil"/>
          <w:right w:val="nil"/>
        </w:pBdr>
        <w:shd w:fill="FAF5FF" w:val="clear"/>
        <w:spacing w:after="60" w:before="60"/>
        <w:ind w:left="280"/>
        <w:jc w:val="left"/>
      </w:pPr>
      <w:r>
        <w:rPr>
          <w:rFonts w:ascii="Arial" w:cs="Arial" w:eastAsia="Arial" w:hAnsi="Arial"/>
          <w:b w:val="false"/>
          <w:bCs w:val="false"/>
          <w:i w:val="false"/>
          <w:iCs w:val="false"/>
          <w:color w:val="44337A"/>
          <w:sz w:val="19"/>
          <w:szCs w:val="19"/>
        </w:rPr>
        <w:t xml:space="preserve">RESULT: Blue Nile: P=58% --&gt; Art. 17 Mediation -- Mediation Commission recommended</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Tool 9 -- WebGIS Map Generator</w:t>
      </w:r>
    </w:p>
    <w:p>
      <w:pPr>
        <w:spacing w:after="85" w:before="0"/>
        <w:jc w:val="left"/>
      </w:pPr>
      <w:r>
        <w:rPr>
          <w:rFonts w:ascii="Arial" w:cs="Arial" w:eastAsia="Arial" w:hAnsi="Arial"/>
          <w:b/>
          <w:bCs/>
          <w:i w:val="false"/>
          <w:iCs w:val="false"/>
          <w:color w:val="061F4A"/>
          <w:sz w:val="20"/>
          <w:szCs w:val="20"/>
        </w:rPr>
        <w:t xml:space="preserve">Purpose: </w:t>
      </w:r>
      <w:r>
        <w:rPr>
          <w:rFonts w:ascii="Arial" w:cs="Arial" w:eastAsia="Arial" w:hAnsi="Arial"/>
          <w:b w:val="false"/>
          <w:bCs w:val="false"/>
          <w:i w:val="false"/>
          <w:iCs w:val="false"/>
          <w:color w:val="1A202C"/>
          <w:sz w:val="20"/>
          <w:szCs w:val="20"/>
        </w:rPr>
        <w:t xml:space="preserve">Generates standalone offline Leaflet.js HTML map. Works without internet after generation.</w:t>
      </w:r>
    </w:p>
    <w:p>
      <w:pPr>
        <w:pStyle w:val="ListParagraph"/>
        <w:numPr>
          <w:ilvl w:val="0"/>
          <w:numId w:val="3"/>
        </w:numPr>
        <w:spacing w:after="55"/>
      </w:pPr>
      <w:r>
        <w:rPr>
          <w:rFonts w:ascii="Arial" w:cs="Arial" w:eastAsia="Arial" w:hAnsi="Arial"/>
          <w:b w:val="false"/>
          <w:bCs w:val="false"/>
          <w:i w:val="false"/>
          <w:iCs w:val="false"/>
          <w:color w:val="1A202C"/>
          <w:sz w:val="20"/>
          <w:szCs w:val="20"/>
        </w:rPr>
        <w:t xml:space="preserve">Click button 9 --&gt; name HTML file --&gt; ~15 seconds --&gt; Open in Browser</w:t>
      </w:r>
    </w:p>
    <w:p>
      <w:pPr>
        <w:pBdr>
          <w:top w:val="nil"/>
          <w:left w:val="thick" w:color="0B3D8E" w:sz="18"/>
          <w:bottom w:val="nil"/>
          <w:right w:val="nil"/>
        </w:pBdr>
        <w:shd w:fill="EBF4FF" w:val="clear"/>
        <w:spacing w:after="60" w:before="60"/>
        <w:ind w:left="280"/>
        <w:jc w:val="left"/>
      </w:pPr>
      <w:r>
        <w:rPr>
          <w:rFonts w:ascii="Arial" w:cs="Arial" w:eastAsia="Arial" w:hAnsi="Arial"/>
          <w:b w:val="false"/>
          <w:bCs w:val="false"/>
          <w:i w:val="false"/>
          <w:iCs w:val="false"/>
          <w:color w:val="1A365D"/>
          <w:sz w:val="19"/>
          <w:szCs w:val="19"/>
        </w:rPr>
        <w:t xml:space="preserve">NOTE:   HTML is fully self-contained. Share by email or publish to GitHub Pages.</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Tool 10 -- Export Basin Data</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000"/>
        <w:gridCol w:w="7000"/>
      </w:tblGrid>
      <w:tr>
        <w:trPr>
          <w:tblHeader/>
        </w:trPr>
        <w:tc>
          <w:tcPr>
            <w:tcW w:type="dxa" w:w="2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Format</w:t>
            </w:r>
          </w:p>
        </w:tc>
        <w:tc>
          <w:tcPr>
            <w:tcW w:type="dxa" w:w="7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Best For</w:t>
            </w:r>
          </w:p>
        </w:tc>
      </w:tr>
      <w:tr>
        <w:trPr>
          <w:tblHeader w:val="false"/>
        </w:trPr>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GeoJSON</w:t>
            </w:r>
          </w:p>
        </w:tc>
        <w:tc>
          <w:tcPr>
            <w:tcW w:type="dxa" w:w="7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Leaflet, web maps, Python/R analysis</w:t>
            </w:r>
          </w:p>
        </w:tc>
      </w:tr>
      <w:tr>
        <w:trPr>
          <w:tblHeader w:val="false"/>
        </w:trPr>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Shapefile (.shp)</w:t>
            </w:r>
          </w:p>
        </w:tc>
        <w:tc>
          <w:tcPr>
            <w:tcW w:type="dxa" w:w="7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ArcGIS, legacy GIS software</w:t>
            </w:r>
          </w:p>
        </w:tc>
      </w:tr>
      <w:tr>
        <w:trPr>
          <w:tblHeader w:val="false"/>
        </w:trPr>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CSV</w:t>
            </w:r>
          </w:p>
        </w:tc>
        <w:tc>
          <w:tcPr>
            <w:tcW w:type="dxa" w:w="7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Excel, SPSS, R, Python -- coordinates only</w:t>
            </w:r>
          </w:p>
        </w:tc>
      </w:tr>
    </w:tbl>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Tool 11 -- Basin Panel (Dockable)</w:t>
      </w:r>
    </w:p>
    <w:p>
      <w:pPr>
        <w:spacing w:after="85" w:before="0"/>
        <w:jc w:val="left"/>
      </w:pPr>
      <w:r>
        <w:rPr>
          <w:rFonts w:ascii="Arial" w:cs="Arial" w:eastAsia="Arial" w:hAnsi="Arial"/>
          <w:b/>
          <w:bCs/>
          <w:i w:val="false"/>
          <w:iCs w:val="false"/>
          <w:color w:val="061F4A"/>
          <w:sz w:val="20"/>
          <w:szCs w:val="20"/>
        </w:rPr>
        <w:t xml:space="preserve">Purpose: </w:t>
      </w:r>
      <w:r>
        <w:rPr>
          <w:rFonts w:ascii="Arial" w:cs="Arial" w:eastAsia="Arial" w:hAnsi="Arial"/>
          <w:b w:val="false"/>
          <w:bCs w:val="false"/>
          <w:i w:val="false"/>
          <w:iCs w:val="false"/>
          <w:color w:val="1A202C"/>
          <w:sz w:val="20"/>
          <w:szCs w:val="20"/>
        </w:rPr>
        <w:t xml:space="preserve">Real-time dockable dashboard showing ATDI bar, HIFD gauge, CI score, and top UNWC articles. Updates on every basin click.</w:t>
      </w:r>
    </w:p>
    <w:p>
      <w:pPr>
        <w:pBdr>
          <w:top w:val="nil"/>
          <w:left w:val="thick" w:color="276749" w:sz="18"/>
          <w:bottom w:val="nil"/>
          <w:right w:val="nil"/>
        </w:pBdr>
        <w:shd w:fill="F0FFF4" w:val="clear"/>
        <w:spacing w:after="60" w:before="60"/>
        <w:ind w:left="280"/>
        <w:jc w:val="left"/>
      </w:pPr>
      <w:r>
        <w:rPr>
          <w:rFonts w:ascii="Arial" w:cs="Arial" w:eastAsia="Arial" w:hAnsi="Arial"/>
          <w:b w:val="false"/>
          <w:bCs w:val="false"/>
          <w:i w:val="false"/>
          <w:iCs w:val="false"/>
          <w:color w:val="1C4532"/>
          <w:sz w:val="19"/>
          <w:szCs w:val="19"/>
        </w:rPr>
        <w:t xml:space="preserve">TIP:    Keep Basin Panel open permanently -- provides live updates with every basin click.</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Tool 12 -- ICJ/PCA Dossier (Menu Only)</w:t>
      </w:r>
    </w:p>
    <w:p>
      <w:pPr>
        <w:spacing w:after="85" w:before="0"/>
        <w:jc w:val="left"/>
      </w:pPr>
      <w:r>
        <w:rPr>
          <w:rFonts w:ascii="Arial" w:cs="Arial" w:eastAsia="Arial" w:hAnsi="Arial"/>
          <w:b w:val="false"/>
          <w:bCs w:val="false"/>
          <w:i w:val="false"/>
          <w:iCs w:val="false"/>
          <w:color w:val="1A202C"/>
          <w:sz w:val="20"/>
          <w:szCs w:val="20"/>
        </w:rPr>
        <w:t xml:space="preserve">Menu --&gt; HydroSovereign AI Engine v6.0.3 --&gt; ICJ/PCA Dossier</w:t>
      </w:r>
    </w:p>
    <w:p>
      <w:pPr>
        <w:spacing w:after="85" w:before="0"/>
        <w:jc w:val="left"/>
      </w:pPr>
      <w:r>
        <w:rPr>
          <w:rFonts w:ascii="Arial" w:cs="Arial" w:eastAsia="Arial" w:hAnsi="Arial"/>
          <w:b w:val="false"/>
          <w:bCs w:val="false"/>
          <w:i w:val="false"/>
          <w:iCs w:val="false"/>
          <w:color w:val="1A202C"/>
          <w:sz w:val="20"/>
          <w:szCs w:val="20"/>
        </w:rPr>
        <w:t xml:space="preserve">Exports complete structured legal dossier for all 26 basins with SHA-256 data integrity chain.</w:t>
      </w:r>
    </w:p>
    <w:p>
      <w:pPr>
        <w:pStyle w:val="ListParagraph"/>
        <w:numPr>
          <w:ilvl w:val="0"/>
          <w:numId w:val="3"/>
        </w:numPr>
        <w:spacing w:after="55"/>
      </w:pPr>
      <w:r>
        <w:rPr>
          <w:rFonts w:ascii="Arial" w:cs="Arial" w:eastAsia="Arial" w:hAnsi="Arial"/>
          <w:b w:val="false"/>
          <w:bCs w:val="false"/>
          <w:i w:val="false"/>
          <w:iCs w:val="false"/>
          <w:color w:val="1A202C"/>
          <w:sz w:val="20"/>
          <w:szCs w:val="20"/>
        </w:rPr>
        <w:t xml:space="preserve">Contents: executive summary, per-basin UNWC mapping, ATDI time series, SHA-256 chain, protest note template</w:t>
      </w:r>
    </w:p>
    <w:p>
      <w:pPr>
        <w:pBdr>
          <w:top w:val="nil"/>
          <w:left w:val="thick" w:color="C05621" w:sz="18"/>
          <w:bottom w:val="nil"/>
          <w:right w:val="nil"/>
        </w:pBdr>
        <w:shd w:fill="FFFBEB" w:val="clear"/>
        <w:spacing w:after="60" w:before="60"/>
        <w:ind w:left="280"/>
        <w:jc w:val="left"/>
      </w:pPr>
      <w:r>
        <w:rPr>
          <w:rFonts w:ascii="Arial" w:cs="Arial" w:eastAsia="Arial" w:hAnsi="Arial"/>
          <w:b w:val="false"/>
          <w:bCs w:val="false"/>
          <w:i w:val="false"/>
          <w:iCs w:val="false"/>
          <w:color w:val="7B341E"/>
          <w:sz w:val="19"/>
          <w:szCs w:val="19"/>
        </w:rPr>
        <w:t xml:space="preserve">WARN:   For formal proceedings, review with qualified international water law expert.</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Tool 13 -- About HSAE v6.0.3 (Menu Only)</w:t>
      </w:r>
    </w:p>
    <w:p>
      <w:pPr>
        <w:spacing w:after="85" w:before="0"/>
        <w:jc w:val="left"/>
      </w:pPr>
      <w:r>
        <w:rPr>
          <w:rFonts w:ascii="Arial" w:cs="Arial" w:eastAsia="Arial" w:hAnsi="Arial"/>
          <w:b w:val="false"/>
          <w:bCs w:val="false"/>
          <w:i w:val="false"/>
          <w:iCs w:val="false"/>
          <w:color w:val="1A202C"/>
          <w:sz w:val="20"/>
          <w:szCs w:val="20"/>
        </w:rPr>
        <w:t xml:space="preserve">Menu --&gt; HydroSovereign --&gt; About HSAE v6.0.3 --&gt; displays Plugin ID 5040, Version 6.0.3, DOI, ORCID, License, all links. Click 'Copy Citation' for BibTeX.</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Tool 14 -- Basin Risk Map [NEW in v6.0.3]</w:t>
      </w:r>
    </w:p>
    <w:p>
      <w:pPr>
        <w:pBdr>
          <w:top w:val="nil"/>
          <w:left w:val="thick" w:color="553C9A" w:sz="18"/>
          <w:bottom w:val="nil"/>
          <w:right w:val="nil"/>
        </w:pBdr>
        <w:shd w:fill="FAF5FF" w:val="clear"/>
        <w:spacing w:after="60" w:before="60"/>
        <w:ind w:left="280"/>
        <w:jc w:val="left"/>
      </w:pPr>
      <w:r>
        <w:rPr>
          <w:rFonts w:ascii="Arial" w:cs="Arial" w:eastAsia="Arial" w:hAnsi="Arial"/>
          <w:b/>
          <w:bCs/>
          <w:i w:val="false"/>
          <w:iCs w:val="false"/>
          <w:color w:val="553C9A"/>
          <w:sz w:val="20"/>
          <w:szCs w:val="20"/>
        </w:rPr>
        <w:t xml:space="preserve">NEW v6.0.3: </w:t>
      </w:r>
      <w:r>
        <w:rPr>
          <w:rFonts w:ascii="Arial" w:cs="Arial" w:eastAsia="Arial" w:hAnsi="Arial"/>
          <w:b w:val="false"/>
          <w:bCs w:val="false"/>
          <w:i w:val="false"/>
          <w:iCs w:val="false"/>
          <w:color w:val="44337A"/>
          <w:sz w:val="19"/>
          <w:szCs w:val="19"/>
        </w:rPr>
        <w:t xml:space="preserve">First QGIS plugin to embed a live Leaflet.js interactive map inside QGIS Desktop using QWebEngineView.</w:t>
      </w:r>
    </w:p>
    <w:p>
      <w:pPr>
        <w:spacing w:after="85" w:before="0"/>
        <w:jc w:val="left"/>
      </w:pPr>
      <w:r>
        <w:rPr>
          <w:rFonts w:ascii="Arial" w:cs="Arial" w:eastAsia="Arial" w:hAnsi="Arial"/>
          <w:b/>
          <w:bCs/>
          <w:i w:val="false"/>
          <w:iCs w:val="false"/>
          <w:color w:val="061F4A"/>
          <w:sz w:val="20"/>
          <w:szCs w:val="20"/>
        </w:rPr>
        <w:t xml:space="preserve">Access: </w:t>
      </w:r>
      <w:r>
        <w:rPr>
          <w:rFonts w:ascii="Arial" w:cs="Arial" w:eastAsia="Arial" w:hAnsi="Arial"/>
          <w:b w:val="false"/>
          <w:bCs w:val="false"/>
          <w:i w:val="false"/>
          <w:iCs w:val="false"/>
          <w:color w:val="1A202C"/>
          <w:sz w:val="20"/>
          <w:szCs w:val="20"/>
        </w:rPr>
        <w:t xml:space="preserve">Menu --&gt; HydroSovereign AI Engine v6.0.3 --&gt; Basin Risk Map</w:t>
      </w:r>
    </w:p>
    <w:p>
      <w:pPr>
        <w:spacing w:after="85" w:before="0"/>
        <w:jc w:val="left"/>
      </w:pPr>
      <w:r>
        <w:rPr>
          <w:rFonts w:ascii="Arial" w:cs="Arial" w:eastAsia="Arial" w:hAnsi="Arial"/>
          <w:b/>
          <w:bCs/>
          <w:i w:val="false"/>
          <w:iCs w:val="false"/>
          <w:color w:val="061F4A"/>
          <w:sz w:val="20"/>
          <w:szCs w:val="20"/>
        </w:rPr>
        <w:t xml:space="preserve">Purpose: </w:t>
      </w:r>
      <w:r>
        <w:rPr>
          <w:rFonts w:ascii="Arial" w:cs="Arial" w:eastAsia="Arial" w:hAnsi="Arial"/>
          <w:b w:val="false"/>
          <w:bCs w:val="false"/>
          <w:i w:val="false"/>
          <w:iCs w:val="false"/>
          <w:color w:val="1A202C"/>
          <w:sz w:val="20"/>
          <w:szCs w:val="20"/>
        </w:rPr>
        <w:t xml:space="preserve">Opens a full interactive basin risk map embedded directly inside QGIS Desktop -- no external browser. All 26 basins with professional popup cards, dark CARTO basemap, UNWC risk colour-coding.</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Map Components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500"/>
        <w:gridCol w:w="6500"/>
      </w:tblGrid>
      <w:tr>
        <w:trPr>
          <w:tblHeader/>
        </w:trPr>
        <w:tc>
          <w:tcPr>
            <w:tcW w:type="dxa" w:w="2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Component</w:t>
            </w:r>
          </w:p>
        </w:tc>
        <w:tc>
          <w:tcPr>
            <w:tcW w:type="dxa" w:w="6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Description</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Dark CARTO basemap</w:t>
            </w:r>
          </w:p>
        </w:tc>
        <w:tc>
          <w:tcPr>
            <w:tcW w:type="dxa" w:w="6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Professional cartographic quality -- CartoDB dark_all tile layer</w:t>
            </w:r>
          </w:p>
        </w:tc>
      </w:tr>
      <w:tr>
        <w:trPr>
          <w:tblHeader w:val="false"/>
        </w:trPr>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Colour-coded circles</w:t>
            </w:r>
          </w:p>
        </w:tc>
        <w:tc>
          <w:tcPr>
            <w:tcW w:type="dxa" w:w="6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Size proportional to ATDI; colour = UNWC zone</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Click popup card</w:t>
            </w:r>
          </w:p>
        </w:tc>
        <w:tc>
          <w:tcPr>
            <w:tcW w:type="dxa" w:w="6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ATDI, HIFD, CI, P(Neg.), Dam, Riparian States, UNWC articles</w:t>
            </w:r>
          </w:p>
        </w:tc>
      </w:tr>
      <w:tr>
        <w:trPr>
          <w:tblHeader w:val="false"/>
        </w:trPr>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Hover tooltip</w:t>
            </w:r>
          </w:p>
        </w:tc>
        <w:tc>
          <w:tcPr>
            <w:tcW w:type="dxa" w:w="6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Basin name + ATDI% + CI value</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Legend (bottom-right)</w:t>
            </w:r>
          </w:p>
        </w:tc>
        <w:tc>
          <w:tcPr>
            <w:tcW w:type="dxa" w:w="6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 ATDI risk zones with hex colour codes</w:t>
            </w:r>
          </w:p>
        </w:tc>
      </w:tr>
      <w:tr>
        <w:trPr>
          <w:tblHeader w:val="false"/>
        </w:trPr>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Attribution (bottom-left)</w:t>
            </w:r>
          </w:p>
        </w:tc>
        <w:tc>
          <w:tcPr>
            <w:tcW w:type="dxa" w:w="6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DOI: 10.5281/zenodo.19180160 -- ORCID: 0000-0003-0821-2991</w:t>
            </w:r>
          </w:p>
        </w:tc>
      </w:tr>
    </w:tbl>
    <w:p>
      <w:pPr>
        <w:spacing w:after="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500"/>
        <w:gridCol w:w="2000"/>
        <w:gridCol w:w="5500"/>
      </w:tblGrid>
      <w:tr>
        <w:trPr>
          <w:tblHeader/>
        </w:trPr>
        <w:tc>
          <w:tcPr>
            <w:tcW w:type="dxa" w:w="1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Colour</w:t>
            </w:r>
          </w:p>
        </w:tc>
        <w:tc>
          <w:tcPr>
            <w:tcW w:type="dxa" w:w="2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ATDI Range</w:t>
            </w:r>
          </w:p>
        </w:tc>
        <w:tc>
          <w:tcPr>
            <w:tcW w:type="dxa" w:w="5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UNWC Zone</w:t>
            </w:r>
          </w:p>
        </w:tc>
      </w:tr>
      <w:tr>
        <w:trPr>
          <w:tblHeader w:val="false"/>
        </w:trPr>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Green (#16a034)</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0-20%</w:t>
            </w:r>
          </w:p>
        </w:tc>
        <w:tc>
          <w:tcPr>
            <w:tcW w:type="dxa" w:w="5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Compliant -- no action</w:t>
            </w:r>
          </w:p>
        </w:tc>
      </w:tr>
      <w:tr>
        <w:trPr>
          <w:tblHeader w:val="false"/>
        </w:trPr>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Yellow (#ca8a04)</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20-40%</w:t>
            </w:r>
          </w:p>
        </w:tc>
        <w:tc>
          <w:tcPr>
            <w:tcW w:type="dxa" w:w="5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 7 -- Notify downstream</w:t>
            </w:r>
          </w:p>
        </w:tc>
      </w:tr>
      <w:tr>
        <w:trPr>
          <w:tblHeader w:val="false"/>
        </w:trPr>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Orange (#ea580c)</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40-55%</w:t>
            </w:r>
          </w:p>
        </w:tc>
        <w:tc>
          <w:tcPr>
            <w:tcW w:type="dxa" w:w="5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 9 -- Data sharing + consult</w:t>
            </w:r>
          </w:p>
        </w:tc>
      </w:tr>
      <w:tr>
        <w:trPr>
          <w:tblHeader w:val="false"/>
        </w:trPr>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Red (#dc2626)</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55-70%</w:t>
            </w:r>
          </w:p>
        </w:tc>
        <w:tc>
          <w:tcPr>
            <w:tcW w:type="dxa" w:w="5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 33 -- Formal dispute</w:t>
            </w:r>
          </w:p>
        </w:tc>
      </w:tr>
      <w:tr>
        <w:trPr>
          <w:tblHeader w:val="false"/>
        </w:trPr>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Purple (#7c3aed)</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&gt;=70%</w:t>
            </w:r>
          </w:p>
        </w:tc>
        <w:tc>
          <w:tcPr>
            <w:tcW w:type="dxa" w:w="5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 35 -- Emergency</w:t>
            </w:r>
          </w:p>
        </w:tc>
      </w:tr>
    </w:tbl>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Step-by-Step</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Menu --&gt; HydroSovereign AI Engine v6.0.3 --&gt; Basin Risk Map</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Dockable panel opens at bottom of QGIS -- map loads in 2-3 seconds</w:t>
      </w:r>
    </w:p>
    <w:p>
      <w:pPr>
        <w:shd w:fill="F7FAFC" w:val="clear"/>
        <w:spacing w:after="55" w:before="35"/>
        <w:ind w:left="160"/>
        <w:jc w:val="left"/>
      </w:pPr>
      <w:r>
        <w:rPr>
          <w:rFonts w:ascii="Arial" w:cs="Arial" w:eastAsia="Arial" w:hAnsi="Arial"/>
          <w:b/>
          <w:bCs/>
          <w:i w:val="false"/>
          <w:iCs w:val="false"/>
          <w:color w:val="0E6B6A"/>
          <w:sz w:val="20"/>
          <w:szCs w:val="20"/>
        </w:rPr>
        <w:t xml:space="preserve">Step 3:  </w:t>
      </w:r>
      <w:r>
        <w:rPr>
          <w:rFonts w:ascii="Arial" w:cs="Arial" w:eastAsia="Arial" w:hAnsi="Arial"/>
          <w:b w:val="false"/>
          <w:bCs w:val="false"/>
          <w:i w:val="false"/>
          <w:iCs w:val="false"/>
          <w:color w:val="1A202C"/>
          <w:sz w:val="20"/>
          <w:szCs w:val="20"/>
        </w:rPr>
        <w:t xml:space="preserve">Click any coloured circle --&gt; full popup card with all indices</w:t>
      </w:r>
    </w:p>
    <w:p>
      <w:pPr>
        <w:shd w:fill="F7FAFC" w:val="clear"/>
        <w:spacing w:after="55" w:before="35"/>
        <w:ind w:left="160"/>
        <w:jc w:val="left"/>
      </w:pPr>
      <w:r>
        <w:rPr>
          <w:rFonts w:ascii="Arial" w:cs="Arial" w:eastAsia="Arial" w:hAnsi="Arial"/>
          <w:b/>
          <w:bCs/>
          <w:i w:val="false"/>
          <w:iCs w:val="false"/>
          <w:color w:val="0E6B6A"/>
          <w:sz w:val="20"/>
          <w:szCs w:val="20"/>
        </w:rPr>
        <w:t xml:space="preserve">Step 4:  </w:t>
      </w:r>
      <w:r>
        <w:rPr>
          <w:rFonts w:ascii="Arial" w:cs="Arial" w:eastAsia="Arial" w:hAnsi="Arial"/>
          <w:b w:val="false"/>
          <w:bCs w:val="false"/>
          <w:i w:val="false"/>
          <w:iCs w:val="false"/>
          <w:color w:val="1A202C"/>
          <w:sz w:val="20"/>
          <w:szCs w:val="20"/>
        </w:rPr>
        <w:t xml:space="preserve">Hover over basins --&gt; tooltip shows name + ATDI% + CI</w:t>
      </w:r>
    </w:p>
    <w:p>
      <w:pPr>
        <w:shd w:fill="F7FAFC" w:val="clear"/>
        <w:spacing w:after="55" w:before="35"/>
        <w:ind w:left="160"/>
        <w:jc w:val="left"/>
      </w:pPr>
      <w:r>
        <w:rPr>
          <w:rFonts w:ascii="Arial" w:cs="Arial" w:eastAsia="Arial" w:hAnsi="Arial"/>
          <w:b/>
          <w:bCs/>
          <w:i w:val="false"/>
          <w:iCs w:val="false"/>
          <w:color w:val="0E6B6A"/>
          <w:sz w:val="20"/>
          <w:szCs w:val="20"/>
        </w:rPr>
        <w:t xml:space="preserve">Step 5:  </w:t>
      </w:r>
      <w:r>
        <w:rPr>
          <w:rFonts w:ascii="Arial" w:cs="Arial" w:eastAsia="Arial" w:hAnsi="Arial"/>
          <w:b w:val="false"/>
          <w:bCs w:val="false"/>
          <w:i w:val="false"/>
          <w:iCs w:val="false"/>
          <w:color w:val="1A202C"/>
          <w:sz w:val="20"/>
          <w:szCs w:val="20"/>
        </w:rPr>
        <w:t xml:space="preserve">Drag panel title bar to float, dock, or resize</w:t>
      </w:r>
    </w:p>
    <w:p>
      <w:pPr>
        <w:shd w:fill="F7FAFC" w:val="clear"/>
        <w:spacing w:after="55" w:before="35"/>
        <w:ind w:left="160"/>
        <w:jc w:val="left"/>
      </w:pPr>
      <w:r>
        <w:rPr>
          <w:rFonts w:ascii="Arial" w:cs="Arial" w:eastAsia="Arial" w:hAnsi="Arial"/>
          <w:b/>
          <w:bCs/>
          <w:i w:val="false"/>
          <w:iCs w:val="false"/>
          <w:color w:val="0E6B6A"/>
          <w:sz w:val="20"/>
          <w:szCs w:val="20"/>
        </w:rPr>
        <w:t xml:space="preserve">Step 6:  </w:t>
      </w:r>
      <w:r>
        <w:rPr>
          <w:rFonts w:ascii="Arial" w:cs="Arial" w:eastAsia="Arial" w:hAnsi="Arial"/>
          <w:b w:val="false"/>
          <w:bCs w:val="false"/>
          <w:i w:val="false"/>
          <w:iCs w:val="false"/>
          <w:color w:val="1A202C"/>
          <w:sz w:val="20"/>
          <w:szCs w:val="20"/>
        </w:rPr>
        <w:t xml:space="preserve">Clicking a basin in Tool 6 Dashboard auto-highlights it on this map</w:t>
      </w:r>
    </w:p>
    <w:p>
      <w:pPr>
        <w:spacing w:after="80"/>
      </w:pPr>
      <w:r>
        <w:t xml:space="preserve"/>
      </w:r>
    </w:p>
    <w:p>
      <w:pPr>
        <w:pBdr>
          <w:top w:val="nil"/>
          <w:left w:val="thick" w:color="C05621" w:sz="18"/>
          <w:bottom w:val="nil"/>
          <w:right w:val="nil"/>
        </w:pBdr>
        <w:shd w:fill="FFFBEB" w:val="clear"/>
        <w:spacing w:after="60" w:before="60"/>
        <w:ind w:left="280"/>
        <w:jc w:val="left"/>
      </w:pPr>
      <w:r>
        <w:rPr>
          <w:rFonts w:ascii="Arial" w:cs="Arial" w:eastAsia="Arial" w:hAnsi="Arial"/>
          <w:b w:val="false"/>
          <w:bCs w:val="false"/>
          <w:i w:val="false"/>
          <w:iCs w:val="false"/>
          <w:color w:val="7B341E"/>
          <w:sz w:val="19"/>
          <w:szCs w:val="19"/>
        </w:rPr>
        <w:t xml:space="preserve">WARN:   If panel shows QWebEngineView not available: pip install PyQtWebEngine in QGIS Python Console</w:t>
      </w:r>
    </w:p>
    <w:p>
      <w:pPr>
        <w:pBdr>
          <w:top w:val="nil"/>
          <w:left w:val="thick" w:color="0B3D8E" w:sz="18"/>
          <w:bottom w:val="nil"/>
          <w:right w:val="nil"/>
        </w:pBdr>
        <w:shd w:fill="EBF4FF" w:val="clear"/>
        <w:spacing w:after="60" w:before="60"/>
        <w:ind w:left="280"/>
        <w:jc w:val="left"/>
      </w:pPr>
      <w:r>
        <w:rPr>
          <w:rFonts w:ascii="Arial" w:cs="Arial" w:eastAsia="Arial" w:hAnsi="Arial"/>
          <w:b w:val="false"/>
          <w:bCs w:val="false"/>
          <w:i w:val="false"/>
          <w:iCs w:val="false"/>
          <w:color w:val="1A365D"/>
          <w:sz w:val="19"/>
          <w:szCs w:val="19"/>
        </w:rPr>
        <w:t xml:space="preserve">NOTE:   Map requires internet for first load (Leaflet CDN). After load, basin interactions work offline.</w:t>
      </w:r>
    </w:p>
    <w:p>
      <w:pPr>
        <w:pBdr>
          <w:top w:val="nil"/>
          <w:left w:val="thick" w:color="553C9A" w:sz="18"/>
          <w:bottom w:val="nil"/>
          <w:right w:val="nil"/>
        </w:pBdr>
        <w:shd w:fill="FAF5FF" w:val="clear"/>
        <w:spacing w:after="60" w:before="60"/>
        <w:ind w:left="280"/>
        <w:jc w:val="left"/>
      </w:pPr>
      <w:r>
        <w:rPr>
          <w:rFonts w:ascii="Arial" w:cs="Arial" w:eastAsia="Arial" w:hAnsi="Arial"/>
          <w:b w:val="false"/>
          <w:bCs w:val="false"/>
          <w:i w:val="false"/>
          <w:iCs w:val="false"/>
          <w:color w:val="44337A"/>
          <w:sz w:val="19"/>
          <w:szCs w:val="19"/>
        </w:rPr>
        <w:t xml:space="preserve">RESULT: Blue Nile popup: ATDI=43.5% Orange -- HIFD=20.0% -- CI=0.44 HIGH -- P(Neg.)=58% -- Arts. 5,7,9,11,12,17,21</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Tool 15 -- Uncertainty &amp; Sensitivity Analysis [NEW in v6.0.3]</w:t>
      </w:r>
    </w:p>
    <w:p>
      <w:pPr>
        <w:pBdr>
          <w:top w:val="nil"/>
          <w:left w:val="thick" w:color="553C9A" w:sz="18"/>
          <w:bottom w:val="nil"/>
          <w:right w:val="nil"/>
        </w:pBdr>
        <w:shd w:fill="FAF5FF" w:val="clear"/>
        <w:spacing w:after="60" w:before="60"/>
        <w:ind w:left="280"/>
        <w:jc w:val="left"/>
      </w:pPr>
      <w:r>
        <w:rPr>
          <w:rFonts w:ascii="Arial" w:cs="Arial" w:eastAsia="Arial" w:hAnsi="Arial"/>
          <w:b/>
          <w:bCs/>
          <w:i w:val="false"/>
          <w:iCs w:val="false"/>
          <w:color w:val="553C9A"/>
          <w:sz w:val="20"/>
          <w:szCs w:val="20"/>
        </w:rPr>
        <w:t xml:space="preserve">NEW v6.0.3: </w:t>
      </w:r>
      <w:r>
        <w:rPr>
          <w:rFonts w:ascii="Arial" w:cs="Arial" w:eastAsia="Arial" w:hAnsi="Arial"/>
          <w:b w:val="false"/>
          <w:bCs w:val="false"/>
          <w:i w:val="false"/>
          <w:iCs w:val="false"/>
          <w:color w:val="44337A"/>
          <w:sz w:val="19"/>
          <w:szCs w:val="19"/>
        </w:rPr>
        <w:t xml:space="preserve">Bayesian confidence intervals + Sobol sensitivity analysis embedded inside QGIS -- no external software.</w:t>
      </w:r>
    </w:p>
    <w:p>
      <w:pPr>
        <w:spacing w:after="85" w:before="0"/>
        <w:jc w:val="left"/>
      </w:pPr>
      <w:r>
        <w:rPr>
          <w:rFonts w:ascii="Arial" w:cs="Arial" w:eastAsia="Arial" w:hAnsi="Arial"/>
          <w:b/>
          <w:bCs/>
          <w:i w:val="false"/>
          <w:iCs w:val="false"/>
          <w:color w:val="061F4A"/>
          <w:sz w:val="20"/>
          <w:szCs w:val="20"/>
        </w:rPr>
        <w:t xml:space="preserve">Access: </w:t>
      </w:r>
      <w:r>
        <w:rPr>
          <w:rFonts w:ascii="Arial" w:cs="Arial" w:eastAsia="Arial" w:hAnsi="Arial"/>
          <w:b w:val="false"/>
          <w:bCs w:val="false"/>
          <w:i w:val="false"/>
          <w:iCs w:val="false"/>
          <w:color w:val="1A202C"/>
          <w:sz w:val="20"/>
          <w:szCs w:val="20"/>
        </w:rPr>
        <w:t xml:space="preserve">Menu --&gt; HydroSovereign AI Engine v6.0.3 --&gt; Uncertainty Analysis</w:t>
      </w:r>
    </w:p>
    <w:p>
      <w:pPr>
        <w:spacing w:after="85" w:before="0"/>
        <w:jc w:val="left"/>
      </w:pPr>
      <w:r>
        <w:rPr>
          <w:rFonts w:ascii="Arial" w:cs="Arial" w:eastAsia="Arial" w:hAnsi="Arial"/>
          <w:b/>
          <w:bCs/>
          <w:i w:val="false"/>
          <w:iCs w:val="false"/>
          <w:color w:val="061F4A"/>
          <w:sz w:val="20"/>
          <w:szCs w:val="20"/>
        </w:rPr>
        <w:t xml:space="preserve">Purpose: </w:t>
      </w:r>
      <w:r>
        <w:rPr>
          <w:rFonts w:ascii="Arial" w:cs="Arial" w:eastAsia="Arial" w:hAnsi="Arial"/>
          <w:b w:val="false"/>
          <w:bCs w:val="false"/>
          <w:i w:val="false"/>
          <w:iCs w:val="false"/>
          <w:color w:val="1A202C"/>
          <w:sz w:val="20"/>
          <w:szCs w:val="20"/>
        </w:rPr>
        <w:t xml:space="preserve">Displays 95% Bayesian confidence intervals on ATDI and HIFD via Monte Carlo (n=500), plus Sobol first-order sensitivity indices for 6 key parameters.</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Scientific Methodology</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500"/>
        <w:gridCol w:w="4000"/>
        <w:gridCol w:w="2500"/>
      </w:tblGrid>
      <w:tr>
        <w:trPr>
          <w:tblHeader/>
        </w:trPr>
        <w:tc>
          <w:tcPr>
            <w:tcW w:type="dxa" w:w="2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Method</w:t>
            </w:r>
          </w:p>
        </w:tc>
        <w:tc>
          <w:tcPr>
            <w:tcW w:type="dxa" w:w="4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Implementation</w:t>
            </w:r>
          </w:p>
        </w:tc>
        <w:tc>
          <w:tcPr>
            <w:tcW w:type="dxa" w:w="2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Reference</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Monte Carlo CI</w:t>
            </w:r>
          </w:p>
        </w:tc>
        <w:tc>
          <w:tcPr>
            <w:tcW w:type="dxa" w:w="4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n=500 HBV-96 parameter samples; 2.5-97.5 percentiles</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Beven &amp; Binley 1992</w:t>
            </w:r>
          </w:p>
        </w:tc>
      </w:tr>
      <w:tr>
        <w:trPr>
          <w:tblHeader w:val="false"/>
        </w:trPr>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Sobol First-Order</w:t>
            </w:r>
          </w:p>
        </w:tc>
        <w:tc>
          <w:tcPr>
            <w:tcW w:type="dxa" w:w="4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S1 indices for 6 parameters; sum approx 1.0</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Saltelli et al. 2010</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Proxy validation note</w:t>
            </w:r>
          </w:p>
        </w:tc>
        <w:tc>
          <w:tcPr>
            <w:tcW w:type="dxa" w:w="4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GloFAS ERA5 v4; no GRDC Q_obs for Blue Nile</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Moriasi et al. 2007</w:t>
            </w:r>
          </w:p>
        </w:tc>
      </w:tr>
    </w:tbl>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Sobol First-Order Sensitivity Indices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000"/>
        <w:gridCol w:w="2000"/>
        <w:gridCol w:w="4000"/>
      </w:tblGrid>
      <w:tr>
        <w:trPr>
          <w:tblHeader/>
        </w:trPr>
        <w:tc>
          <w:tcPr>
            <w:tcW w:type="dxa" w:w="3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Parameter</w:t>
            </w:r>
          </w:p>
        </w:tc>
        <w:tc>
          <w:tcPr>
            <w:tcW w:type="dxa" w:w="2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S1 Index</w:t>
            </w:r>
          </w:p>
        </w:tc>
        <w:tc>
          <w:tcPr>
            <w:tcW w:type="dxa" w:w="4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Interpretation</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Runoff Coefficient (RC)</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0.312</w:t>
            </w:r>
          </w:p>
        </w:tc>
        <w:tc>
          <w:tcPr>
            <w:tcW w:type="dxa" w:w="4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Highest driver of ATDI uncertainty</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Dam Capacity (BCM)</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0.228</w:t>
            </w:r>
          </w:p>
        </w:tc>
        <w:tc>
          <w:tcPr>
            <w:tcW w:type="dxa" w:w="4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Second most influential</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Dispute Level (1-5)</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0.187</w:t>
            </w:r>
          </w:p>
        </w:tc>
        <w:tc>
          <w:tcPr>
            <w:tcW w:type="dxa" w:w="4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Political context uncertainty</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n_countries</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0.143</w:t>
            </w:r>
          </w:p>
        </w:tc>
        <w:tc>
          <w:tcPr>
            <w:tcW w:type="dxa" w:w="4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Riparian complexity effect</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ET Uncertainty</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0.082</w:t>
            </w:r>
          </w:p>
        </w:tc>
        <w:tc>
          <w:tcPr>
            <w:tcW w:type="dxa" w:w="4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Climatic variability</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Residual</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0.048</w:t>
            </w:r>
          </w:p>
        </w:tc>
        <w:tc>
          <w:tcPr>
            <w:tcW w:type="dxa" w:w="4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Unexplained variance</w:t>
            </w:r>
          </w:p>
        </w:tc>
      </w:tr>
    </w:tbl>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Step-by-Step</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Menu --&gt; HydroSovereign AI Engine v6.0.3 --&gt; Uncertainty Analysis</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Panel opens on right -- first basin auto-loads</w:t>
      </w:r>
    </w:p>
    <w:p>
      <w:pPr>
        <w:shd w:fill="F7FAFC" w:val="clear"/>
        <w:spacing w:after="55" w:before="35"/>
        <w:ind w:left="160"/>
        <w:jc w:val="left"/>
      </w:pPr>
      <w:r>
        <w:rPr>
          <w:rFonts w:ascii="Arial" w:cs="Arial" w:eastAsia="Arial" w:hAnsi="Arial"/>
          <w:b/>
          <w:bCs/>
          <w:i w:val="false"/>
          <w:iCs w:val="false"/>
          <w:color w:val="0E6B6A"/>
          <w:sz w:val="20"/>
          <w:szCs w:val="20"/>
        </w:rPr>
        <w:t xml:space="preserve">Step 3:  </w:t>
      </w:r>
      <w:r>
        <w:rPr>
          <w:rFonts w:ascii="Arial" w:cs="Arial" w:eastAsia="Arial" w:hAnsi="Arial"/>
          <w:b w:val="false"/>
          <w:bCs w:val="false"/>
          <w:i w:val="false"/>
          <w:iCs w:val="false"/>
          <w:color w:val="1A202C"/>
          <w:sz w:val="20"/>
          <w:szCs w:val="20"/>
        </w:rPr>
        <w:t xml:space="preserve">Review ATDI CI bar: e.g., 43.5% with [39.2%-47.8%] 95% confidence interval</w:t>
      </w:r>
    </w:p>
    <w:p>
      <w:pPr>
        <w:shd w:fill="F7FAFC" w:val="clear"/>
        <w:spacing w:after="55" w:before="35"/>
        <w:ind w:left="160"/>
        <w:jc w:val="left"/>
      </w:pPr>
      <w:r>
        <w:rPr>
          <w:rFonts w:ascii="Arial" w:cs="Arial" w:eastAsia="Arial" w:hAnsi="Arial"/>
          <w:b/>
          <w:bCs/>
          <w:i w:val="false"/>
          <w:iCs w:val="false"/>
          <w:color w:val="0E6B6A"/>
          <w:sz w:val="20"/>
          <w:szCs w:val="20"/>
        </w:rPr>
        <w:t xml:space="preserve">Step 4:  </w:t>
      </w:r>
      <w:r>
        <w:rPr>
          <w:rFonts w:ascii="Arial" w:cs="Arial" w:eastAsia="Arial" w:hAnsi="Arial"/>
          <w:b w:val="false"/>
          <w:bCs w:val="false"/>
          <w:i w:val="false"/>
          <w:iCs w:val="false"/>
          <w:color w:val="1A202C"/>
          <w:sz w:val="20"/>
          <w:szCs w:val="20"/>
        </w:rPr>
        <w:t xml:space="preserve">Review HIFD CI bar: e.g., 20.0% with [17.8%-22.4%] 95% confidence interval</w:t>
      </w:r>
    </w:p>
    <w:p>
      <w:pPr>
        <w:shd w:fill="F7FAFC" w:val="clear"/>
        <w:spacing w:after="55" w:before="35"/>
        <w:ind w:left="160"/>
        <w:jc w:val="left"/>
      </w:pPr>
      <w:r>
        <w:rPr>
          <w:rFonts w:ascii="Arial" w:cs="Arial" w:eastAsia="Arial" w:hAnsi="Arial"/>
          <w:b/>
          <w:bCs/>
          <w:i w:val="false"/>
          <w:iCs w:val="false"/>
          <w:color w:val="0E6B6A"/>
          <w:sz w:val="20"/>
          <w:szCs w:val="20"/>
        </w:rPr>
        <w:t xml:space="preserve">Step 5:  </w:t>
      </w:r>
      <w:r>
        <w:rPr>
          <w:rFonts w:ascii="Arial" w:cs="Arial" w:eastAsia="Arial" w:hAnsi="Arial"/>
          <w:b w:val="false"/>
          <w:bCs w:val="false"/>
          <w:i w:val="false"/>
          <w:iCs w:val="false"/>
          <w:color w:val="1A202C"/>
          <w:sz w:val="20"/>
          <w:szCs w:val="20"/>
        </w:rPr>
        <w:t xml:space="preserve">Review Sobol bar chart -- Runoff Coefficient has highest influence (~31%)</w:t>
      </w:r>
    </w:p>
    <w:p>
      <w:pPr>
        <w:shd w:fill="F7FAFC" w:val="clear"/>
        <w:spacing w:after="55" w:before="35"/>
        <w:ind w:left="160"/>
        <w:jc w:val="left"/>
      </w:pPr>
      <w:r>
        <w:rPr>
          <w:rFonts w:ascii="Arial" w:cs="Arial" w:eastAsia="Arial" w:hAnsi="Arial"/>
          <w:b/>
          <w:bCs/>
          <w:i w:val="false"/>
          <w:iCs w:val="false"/>
          <w:color w:val="0E6B6A"/>
          <w:sz w:val="20"/>
          <w:szCs w:val="20"/>
        </w:rPr>
        <w:t xml:space="preserve">Step 6:  </w:t>
      </w:r>
      <w:r>
        <w:rPr>
          <w:rFonts w:ascii="Arial" w:cs="Arial" w:eastAsia="Arial" w:hAnsi="Arial"/>
          <w:b w:val="false"/>
          <w:bCs w:val="false"/>
          <w:i w:val="false"/>
          <w:iCs w:val="false"/>
          <w:color w:val="1A202C"/>
          <w:sz w:val="20"/>
          <w:szCs w:val="20"/>
        </w:rPr>
        <w:t xml:space="preserve">Click any basin in Tool 1 or Tool 6 --&gt; panel updates automatically</w:t>
      </w:r>
    </w:p>
    <w:p>
      <w:pPr>
        <w:spacing w:after="80"/>
      </w:pPr>
      <w:r>
        <w:t xml:space="preserve"/>
      </w:r>
    </w:p>
    <w:p>
      <w:pPr>
        <w:pBdr>
          <w:top w:val="nil"/>
          <w:left w:val="thick" w:color="553C9A" w:sz="18"/>
          <w:bottom w:val="nil"/>
          <w:right w:val="nil"/>
        </w:pBdr>
        <w:shd w:fill="FAF5FF" w:val="clear"/>
        <w:spacing w:after="60" w:before="60"/>
        <w:ind w:left="280"/>
        <w:jc w:val="left"/>
      </w:pPr>
      <w:r>
        <w:rPr>
          <w:rFonts w:ascii="Arial" w:cs="Arial" w:eastAsia="Arial" w:hAnsi="Arial"/>
          <w:b w:val="false"/>
          <w:bCs w:val="false"/>
          <w:i w:val="false"/>
          <w:iCs w:val="false"/>
          <w:color w:val="44337A"/>
          <w:sz w:val="19"/>
          <w:szCs w:val="19"/>
        </w:rPr>
        <w:t xml:space="preserve">RESULT: Blue Nile: ATDI = 43.5% [39.2%-47.8%] -- HIFD = 20.0% [17.8%-22.4%]  (95% CI, n=500)</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Tool 16 -- Treaty Analysis (ATCI) [NEW in v6.0.3]</w:t>
      </w:r>
    </w:p>
    <w:p>
      <w:pPr>
        <w:pBdr>
          <w:top w:val="nil"/>
          <w:left w:val="thick" w:color="553C9A" w:sz="18"/>
          <w:bottom w:val="nil"/>
          <w:right w:val="nil"/>
        </w:pBdr>
        <w:shd w:fill="FAF5FF" w:val="clear"/>
        <w:spacing w:after="60" w:before="60"/>
        <w:ind w:left="280"/>
        <w:jc w:val="left"/>
      </w:pPr>
      <w:r>
        <w:rPr>
          <w:rFonts w:ascii="Arial" w:cs="Arial" w:eastAsia="Arial" w:hAnsi="Arial"/>
          <w:b/>
          <w:bCs/>
          <w:i w:val="false"/>
          <w:iCs w:val="false"/>
          <w:color w:val="553C9A"/>
          <w:sz w:val="20"/>
          <w:szCs w:val="20"/>
        </w:rPr>
        <w:t xml:space="preserve">NEW v6.0.3: </w:t>
      </w:r>
      <w:r>
        <w:rPr>
          <w:rFonts w:ascii="Arial" w:cs="Arial" w:eastAsia="Arial" w:hAnsi="Arial"/>
          <w:b w:val="false"/>
          <w:bCs w:val="false"/>
          <w:i w:val="false"/>
          <w:iCs w:val="false"/>
          <w:color w:val="44337A"/>
          <w:sz w:val="19"/>
          <w:szCs w:val="19"/>
        </w:rPr>
        <w:t xml:space="preserve">First automated UNWC 1997 article-by-article compliance screener in any open-source GIS platform.</w:t>
      </w:r>
    </w:p>
    <w:p>
      <w:pPr>
        <w:spacing w:after="85" w:before="0"/>
        <w:jc w:val="left"/>
      </w:pPr>
      <w:r>
        <w:rPr>
          <w:rFonts w:ascii="Arial" w:cs="Arial" w:eastAsia="Arial" w:hAnsi="Arial"/>
          <w:b/>
          <w:bCs/>
          <w:i w:val="false"/>
          <w:iCs w:val="false"/>
          <w:color w:val="061F4A"/>
          <w:sz w:val="20"/>
          <w:szCs w:val="20"/>
        </w:rPr>
        <w:t xml:space="preserve">Access: </w:t>
      </w:r>
      <w:r>
        <w:rPr>
          <w:rFonts w:ascii="Arial" w:cs="Arial" w:eastAsia="Arial" w:hAnsi="Arial"/>
          <w:b w:val="false"/>
          <w:bCs w:val="false"/>
          <w:i w:val="false"/>
          <w:iCs w:val="false"/>
          <w:color w:val="1A202C"/>
          <w:sz w:val="20"/>
          <w:szCs w:val="20"/>
        </w:rPr>
        <w:t xml:space="preserve">Menu --&gt; HydroSovereign AI Engine v6.0.3 --&gt; Treaty Analysis (ATCI)</w:t>
      </w:r>
    </w:p>
    <w:p>
      <w:pPr>
        <w:spacing w:after="85" w:before="0"/>
        <w:jc w:val="left"/>
      </w:pPr>
      <w:r>
        <w:rPr>
          <w:rFonts w:ascii="Arial" w:cs="Arial" w:eastAsia="Arial" w:hAnsi="Arial"/>
          <w:b/>
          <w:bCs/>
          <w:i w:val="false"/>
          <w:iCs w:val="false"/>
          <w:color w:val="061F4A"/>
          <w:sz w:val="20"/>
          <w:szCs w:val="20"/>
        </w:rPr>
        <w:t xml:space="preserve">Purpose: </w:t>
      </w:r>
      <w:r>
        <w:rPr>
          <w:rFonts w:ascii="Arial" w:cs="Arial" w:eastAsia="Arial" w:hAnsi="Arial"/>
          <w:b w:val="false"/>
          <w:bCs w:val="false"/>
          <w:i w:val="false"/>
          <w:iCs w:val="false"/>
          <w:color w:val="1A202C"/>
          <w:sz w:val="20"/>
          <w:szCs w:val="20"/>
        </w:rPr>
        <w:t xml:space="preserve">Computes Alkedir Treaty Compliance Index (ATCI) -- assessing 10 key UNWC 1997 articles for any selected basin.</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ATCI Formula</w:t>
      </w:r>
    </w:p>
    <w:p>
      <w:pPr>
        <w:pBdr>
          <w:top w:val="nil"/>
          <w:left w:val="thick" w:color="0B3D8E" w:sz="16"/>
          <w:bottom w:val="nil"/>
          <w:right w:val="nil"/>
        </w:pBdr>
        <w:shd w:fill="EDF2F7" w:val="clear"/>
        <w:spacing w:after="0" w:before="60"/>
        <w:ind w:left="280"/>
      </w:pPr>
      <w:r>
        <w:rPr>
          <w:rFonts w:ascii="Courier New" w:cs="Courier New" w:eastAsia="Courier New" w:hAnsi="Courier New"/>
          <w:color w:val="1A365D"/>
          <w:sz w:val="18"/>
          <w:szCs w:val="18"/>
        </w:rPr>
        <w:t xml:space="preserve">ATCI = (triggered_articles / total_articles) x 100%</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Higher ATCI = more UNWC obligations breached</w:t>
      </w:r>
    </w:p>
    <w:p>
      <w:pPr>
        <w:pBdr>
          <w:top w:val="nil"/>
          <w:left w:val="thick" w:color="0B3D8E" w:sz="16"/>
          <w:bottom w:val="nil"/>
          <w:right w:val="nil"/>
        </w:pBdr>
        <w:shd w:fill="EDF2F7" w:val="clear"/>
        <w:spacing w:after="60" w:before="0"/>
        <w:ind w:left="280"/>
      </w:pPr>
      <w:r>
        <w:rPr>
          <w:rFonts w:ascii="Courier New" w:cs="Courier New" w:eastAsia="Courier New" w:hAnsi="Courier New"/>
          <w:color w:val="1A365D"/>
          <w:sz w:val="18"/>
          <w:szCs w:val="18"/>
        </w:rPr>
        <w:t xml:space="preserve">ATCI is one of the 6 original Alkedir indices</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10 UNWC Articles Assessed</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
        <w:gridCol w:w="3500"/>
        <w:gridCol w:w="4600"/>
      </w:tblGrid>
      <w:tr>
        <w:trPr>
          <w:tblHeader/>
        </w:trPr>
        <w:tc>
          <w:tcPr>
            <w:tcW w:type="dxa" w:w="9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Article</w:t>
            </w:r>
          </w:p>
        </w:tc>
        <w:tc>
          <w:tcPr>
            <w:tcW w:type="dxa" w:w="3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Obligation</w:t>
            </w:r>
          </w:p>
        </w:tc>
        <w:tc>
          <w:tcPr>
            <w:tcW w:type="dxa" w:w="46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Trigger Threshold</w:t>
            </w:r>
          </w:p>
        </w:tc>
      </w:tr>
      <w:tr>
        <w:trPr>
          <w:tblHeader w:val="false"/>
        </w:trPr>
        <w:tc>
          <w:tcPr>
            <w:tcW w:type="dxa" w:w="9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 5</w:t>
            </w:r>
          </w:p>
        </w:tc>
        <w:tc>
          <w:tcPr>
            <w:tcW w:type="dxa" w:w="3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Equitable and Reasonable Utilization</w:t>
            </w:r>
          </w:p>
        </w:tc>
        <w:tc>
          <w:tcPr>
            <w:tcW w:type="dxa" w:w="4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HIFD &gt; 25%</w:t>
            </w:r>
          </w:p>
        </w:tc>
      </w:tr>
      <w:tr>
        <w:trPr>
          <w:tblHeader w:val="false"/>
        </w:trPr>
        <w:tc>
          <w:tcPr>
            <w:tcW w:type="dxa" w:w="9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 7</w:t>
            </w:r>
          </w:p>
        </w:tc>
        <w:tc>
          <w:tcPr>
            <w:tcW w:type="dxa" w:w="3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Obligation Not to Cause Significant Harm</w:t>
            </w:r>
          </w:p>
        </w:tc>
        <w:tc>
          <w:tcPr>
            <w:tcW w:type="dxa" w:w="4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ATDI &gt; 20%</w:t>
            </w:r>
          </w:p>
        </w:tc>
      </w:tr>
      <w:tr>
        <w:trPr>
          <w:tblHeader w:val="false"/>
        </w:trPr>
        <w:tc>
          <w:tcPr>
            <w:tcW w:type="dxa" w:w="9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 9</w:t>
            </w:r>
          </w:p>
        </w:tc>
        <w:tc>
          <w:tcPr>
            <w:tcW w:type="dxa" w:w="3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Regular Exchange of Data and Information</w:t>
            </w:r>
          </w:p>
        </w:tc>
        <w:tc>
          <w:tcPr>
            <w:tcW w:type="dxa" w:w="4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ATDI &gt; 40%</w:t>
            </w:r>
          </w:p>
        </w:tc>
      </w:tr>
      <w:tr>
        <w:trPr>
          <w:tblHeader w:val="false"/>
        </w:trPr>
        <w:tc>
          <w:tcPr>
            <w:tcW w:type="dxa" w:w="9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 11</w:t>
            </w:r>
          </w:p>
        </w:tc>
        <w:tc>
          <w:tcPr>
            <w:tcW w:type="dxa" w:w="3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Information Concerning Planned Measures</w:t>
            </w:r>
          </w:p>
        </w:tc>
        <w:tc>
          <w:tcPr>
            <w:tcW w:type="dxa" w:w="4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ATDI &gt; 35%</w:t>
            </w:r>
          </w:p>
        </w:tc>
      </w:tr>
      <w:tr>
        <w:trPr>
          <w:tblHeader w:val="false"/>
        </w:trPr>
        <w:tc>
          <w:tcPr>
            <w:tcW w:type="dxa" w:w="9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 12</w:t>
            </w:r>
          </w:p>
        </w:tc>
        <w:tc>
          <w:tcPr>
            <w:tcW w:type="dxa" w:w="3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Notification Concerning Planned Measures</w:t>
            </w:r>
          </w:p>
        </w:tc>
        <w:tc>
          <w:tcPr>
            <w:tcW w:type="dxa" w:w="4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ATDI &gt; 45%</w:t>
            </w:r>
          </w:p>
        </w:tc>
      </w:tr>
      <w:tr>
        <w:trPr>
          <w:tblHeader w:val="false"/>
        </w:trPr>
        <w:tc>
          <w:tcPr>
            <w:tcW w:type="dxa" w:w="9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 17</w:t>
            </w:r>
          </w:p>
        </w:tc>
        <w:tc>
          <w:tcPr>
            <w:tcW w:type="dxa" w:w="3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Consultations and Negotiations</w:t>
            </w:r>
          </w:p>
        </w:tc>
        <w:tc>
          <w:tcPr>
            <w:tcW w:type="dxa" w:w="4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ATDI &gt; 50%</w:t>
            </w:r>
          </w:p>
        </w:tc>
      </w:tr>
      <w:tr>
        <w:trPr>
          <w:tblHeader w:val="false"/>
        </w:trPr>
        <w:tc>
          <w:tcPr>
            <w:tcW w:type="dxa" w:w="9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 20</w:t>
            </w:r>
          </w:p>
        </w:tc>
        <w:tc>
          <w:tcPr>
            <w:tcW w:type="dxa" w:w="3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Protection and Preservation of Ecosystems</w:t>
            </w:r>
          </w:p>
        </w:tc>
        <w:tc>
          <w:tcPr>
            <w:tcW w:type="dxa" w:w="4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HIFD &gt; 30%</w:t>
            </w:r>
          </w:p>
        </w:tc>
      </w:tr>
      <w:tr>
        <w:trPr>
          <w:tblHeader w:val="false"/>
        </w:trPr>
        <w:tc>
          <w:tcPr>
            <w:tcW w:type="dxa" w:w="9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 21</w:t>
            </w:r>
          </w:p>
        </w:tc>
        <w:tc>
          <w:tcPr>
            <w:tcW w:type="dxa" w:w="3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Prevention, Reduction of Pollution</w:t>
            </w:r>
          </w:p>
        </w:tc>
        <w:tc>
          <w:tcPr>
            <w:tcW w:type="dxa" w:w="4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HIFD &gt; 20%</w:t>
            </w:r>
          </w:p>
        </w:tc>
      </w:tr>
      <w:tr>
        <w:trPr>
          <w:tblHeader w:val="false"/>
        </w:trPr>
        <w:tc>
          <w:tcPr>
            <w:tcW w:type="dxa" w:w="9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 33</w:t>
            </w:r>
          </w:p>
        </w:tc>
        <w:tc>
          <w:tcPr>
            <w:tcW w:type="dxa" w:w="3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Settlement of Disputes</w:t>
            </w:r>
          </w:p>
        </w:tc>
        <w:tc>
          <w:tcPr>
            <w:tcW w:type="dxa" w:w="4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ATDI &gt; 55%</w:t>
            </w:r>
          </w:p>
        </w:tc>
      </w:tr>
      <w:tr>
        <w:trPr>
          <w:tblHeader w:val="false"/>
        </w:trPr>
        <w:tc>
          <w:tcPr>
            <w:tcW w:type="dxa" w:w="9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 35</w:t>
            </w:r>
          </w:p>
        </w:tc>
        <w:tc>
          <w:tcPr>
            <w:tcW w:type="dxa" w:w="3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Emergency Situations</w:t>
            </w:r>
          </w:p>
        </w:tc>
        <w:tc>
          <w:tcPr>
            <w:tcW w:type="dxa" w:w="4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ATDI &gt; 70%</w:t>
            </w:r>
          </w:p>
        </w:tc>
      </w:tr>
    </w:tbl>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Step-by-Step</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Menu --&gt; HydroSovereign AI Engine v6.0.3 --&gt; Treaty Analysis (ATCI)</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Panel opens -- basin dropdown shows all 26 basins</w:t>
      </w:r>
    </w:p>
    <w:p>
      <w:pPr>
        <w:shd w:fill="F7FAFC" w:val="clear"/>
        <w:spacing w:after="55" w:before="35"/>
        <w:ind w:left="160"/>
        <w:jc w:val="left"/>
      </w:pPr>
      <w:r>
        <w:rPr>
          <w:rFonts w:ascii="Arial" w:cs="Arial" w:eastAsia="Arial" w:hAnsi="Arial"/>
          <w:b/>
          <w:bCs/>
          <w:i w:val="false"/>
          <w:iCs w:val="false"/>
          <w:color w:val="0E6B6A"/>
          <w:sz w:val="20"/>
          <w:szCs w:val="20"/>
        </w:rPr>
        <w:t xml:space="preserve">Step 3:  </w:t>
      </w:r>
      <w:r>
        <w:rPr>
          <w:rFonts w:ascii="Arial" w:cs="Arial" w:eastAsia="Arial" w:hAnsi="Arial"/>
          <w:b w:val="false"/>
          <w:bCs w:val="false"/>
          <w:i w:val="false"/>
          <w:iCs w:val="false"/>
          <w:color w:val="1A202C"/>
          <w:sz w:val="20"/>
          <w:szCs w:val="20"/>
        </w:rPr>
        <w:t xml:space="preserve">Select: Blue Nile (GERD) --&gt; click Analyse</w:t>
      </w:r>
    </w:p>
    <w:p>
      <w:pPr>
        <w:shd w:fill="F7FAFC" w:val="clear"/>
        <w:spacing w:after="55" w:before="35"/>
        <w:ind w:left="160"/>
        <w:jc w:val="left"/>
      </w:pPr>
      <w:r>
        <w:rPr>
          <w:rFonts w:ascii="Arial" w:cs="Arial" w:eastAsia="Arial" w:hAnsi="Arial"/>
          <w:b/>
          <w:bCs/>
          <w:i w:val="false"/>
          <w:iCs w:val="false"/>
          <w:color w:val="0E6B6A"/>
          <w:sz w:val="20"/>
          <w:szCs w:val="20"/>
        </w:rPr>
        <w:t xml:space="preserve">Step 4:  </w:t>
      </w:r>
      <w:r>
        <w:rPr>
          <w:rFonts w:ascii="Arial" w:cs="Arial" w:eastAsia="Arial" w:hAnsi="Arial"/>
          <w:b w:val="false"/>
          <w:bCs w:val="false"/>
          <w:i w:val="false"/>
          <w:iCs w:val="false"/>
          <w:color w:val="1A202C"/>
          <w:sz w:val="20"/>
          <w:szCs w:val="20"/>
        </w:rPr>
        <w:t xml:space="preserve">Colour-coded table: red = triggered article, green = compliant</w:t>
      </w:r>
    </w:p>
    <w:p>
      <w:pPr>
        <w:shd w:fill="F7FAFC" w:val="clear"/>
        <w:spacing w:after="55" w:before="35"/>
        <w:ind w:left="160"/>
        <w:jc w:val="left"/>
      </w:pPr>
      <w:r>
        <w:rPr>
          <w:rFonts w:ascii="Arial" w:cs="Arial" w:eastAsia="Arial" w:hAnsi="Arial"/>
          <w:b/>
          <w:bCs/>
          <w:i w:val="false"/>
          <w:iCs w:val="false"/>
          <w:color w:val="0E6B6A"/>
          <w:sz w:val="20"/>
          <w:szCs w:val="20"/>
        </w:rPr>
        <w:t xml:space="preserve">Step 5:  </w:t>
      </w:r>
      <w:r>
        <w:rPr>
          <w:rFonts w:ascii="Arial" w:cs="Arial" w:eastAsia="Arial" w:hAnsi="Arial"/>
          <w:b w:val="false"/>
          <w:bCs w:val="false"/>
          <w:i w:val="false"/>
          <w:iCs w:val="false"/>
          <w:color w:val="1A202C"/>
          <w:sz w:val="20"/>
          <w:szCs w:val="20"/>
        </w:rPr>
        <w:t xml:space="preserve">ATCI score displayed at top (e.g., ATCI = 70% = 7/10 articles triggered)</w:t>
      </w:r>
    </w:p>
    <w:p>
      <w:pPr>
        <w:shd w:fill="F7FAFC" w:val="clear"/>
        <w:spacing w:after="55" w:before="35"/>
        <w:ind w:left="160"/>
        <w:jc w:val="left"/>
      </w:pPr>
      <w:r>
        <w:rPr>
          <w:rFonts w:ascii="Arial" w:cs="Arial" w:eastAsia="Arial" w:hAnsi="Arial"/>
          <w:b/>
          <w:bCs/>
          <w:i w:val="false"/>
          <w:iCs w:val="false"/>
          <w:color w:val="0E6B6A"/>
          <w:sz w:val="20"/>
          <w:szCs w:val="20"/>
        </w:rPr>
        <w:t xml:space="preserve">Step 6:  </w:t>
      </w:r>
      <w:r>
        <w:rPr>
          <w:rFonts w:ascii="Arial" w:cs="Arial" w:eastAsia="Arial" w:hAnsi="Arial"/>
          <w:b w:val="false"/>
          <w:bCs w:val="false"/>
          <w:i w:val="false"/>
          <w:iCs w:val="false"/>
          <w:color w:val="1A202C"/>
          <w:sz w:val="20"/>
          <w:szCs w:val="20"/>
        </w:rPr>
        <w:t xml:space="preserve">Change basin in dropdown --&gt; click Analyse --&gt; results update instantly</w:t>
      </w:r>
    </w:p>
    <w:p>
      <w:pPr>
        <w:spacing w:after="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200"/>
        <w:gridCol w:w="1200"/>
        <w:gridCol w:w="1200"/>
        <w:gridCol w:w="3100"/>
        <w:gridCol w:w="1300"/>
      </w:tblGrid>
      <w:tr>
        <w:trPr>
          <w:tblHeader/>
        </w:trPr>
        <w:tc>
          <w:tcPr>
            <w:tcW w:type="dxa" w:w="22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Basin</w:t>
            </w:r>
          </w:p>
        </w:tc>
        <w:tc>
          <w:tcPr>
            <w:tcW w:type="dxa" w:w="12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ATDI</w:t>
            </w:r>
          </w:p>
        </w:tc>
        <w:tc>
          <w:tcPr>
            <w:tcW w:type="dxa" w:w="12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HIFD</w:t>
            </w:r>
          </w:p>
        </w:tc>
        <w:tc>
          <w:tcPr>
            <w:tcW w:type="dxa" w:w="31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Triggered</w:t>
            </w:r>
          </w:p>
        </w:tc>
        <w:tc>
          <w:tcPr>
            <w:tcW w:type="dxa" w:w="13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ATCI</w:t>
            </w:r>
          </w:p>
        </w:tc>
      </w:tr>
      <w:tr>
        <w:trPr>
          <w:tblHeader w:val="false"/>
        </w:trPr>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Blue Nile (GERD)</w:t>
            </w:r>
          </w:p>
        </w:tc>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43.5%</w:t>
            </w:r>
          </w:p>
        </w:tc>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20.0%</w:t>
            </w:r>
          </w:p>
        </w:tc>
        <w:tc>
          <w:tcPr>
            <w:tcW w:type="dxa" w:w="31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5,7,9,11,12,17,21  (7/10)</w:t>
            </w:r>
          </w:p>
        </w:tc>
        <w:tc>
          <w:tcPr>
            <w:tcW w:type="dxa" w:w="13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70%</w:t>
            </w:r>
          </w:p>
        </w:tc>
      </w:tr>
      <w:tr>
        <w:trPr>
          <w:tblHeader w:val="false"/>
        </w:trPr>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Mekong (Xayaburi)</w:t>
            </w:r>
          </w:p>
        </w:tc>
        <w:tc>
          <w:tcPr>
            <w:tcW w:type="dxa" w:w="1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56.5%</w:t>
            </w:r>
          </w:p>
        </w:tc>
        <w:tc>
          <w:tcPr>
            <w:tcW w:type="dxa" w:w="1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32.7%</w:t>
            </w:r>
          </w:p>
        </w:tc>
        <w:tc>
          <w:tcPr>
            <w:tcW w:type="dxa" w:w="31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5,7,9,11,12,17,20,21,33  (9/10)</w:t>
            </w:r>
          </w:p>
        </w:tc>
        <w:tc>
          <w:tcPr>
            <w:tcW w:type="dxa" w:w="13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90%</w:t>
            </w:r>
          </w:p>
        </w:tc>
      </w:tr>
      <w:tr>
        <w:trPr>
          <w:tblHeader w:val="false"/>
        </w:trPr>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Columbia (USA)</w:t>
            </w:r>
          </w:p>
        </w:tc>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19.8%</w:t>
            </w:r>
          </w:p>
        </w:tc>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23.1%</w:t>
            </w:r>
          </w:p>
        </w:tc>
        <w:tc>
          <w:tcPr>
            <w:tcW w:type="dxa" w:w="31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 21 only  (1/10)</w:t>
            </w:r>
          </w:p>
        </w:tc>
        <w:tc>
          <w:tcPr>
            <w:tcW w:type="dxa" w:w="13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10%</w:t>
            </w:r>
          </w:p>
        </w:tc>
      </w:tr>
      <w:tr>
        <w:trPr>
          <w:tblHeader w:val="false"/>
        </w:trPr>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Yangtze</w:t>
            </w:r>
          </w:p>
        </w:tc>
        <w:tc>
          <w:tcPr>
            <w:tcW w:type="dxa" w:w="1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18.4%</w:t>
            </w:r>
          </w:p>
        </w:tc>
        <w:tc>
          <w:tcPr>
            <w:tcW w:type="dxa" w:w="1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22.8%</w:t>
            </w:r>
          </w:p>
        </w:tc>
        <w:tc>
          <w:tcPr>
            <w:tcW w:type="dxa" w:w="31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None triggered  (0/10)</w:t>
            </w:r>
          </w:p>
        </w:tc>
        <w:tc>
          <w:tcPr>
            <w:tcW w:type="dxa" w:w="13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w:t>
            </w:r>
          </w:p>
        </w:tc>
      </w:tr>
      <w:tr>
        <w:trPr>
          <w:tblHeader w:val="false"/>
        </w:trPr>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Vakhsh (Nurek)</w:t>
            </w:r>
          </w:p>
        </w:tc>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56.8%</w:t>
            </w:r>
          </w:p>
        </w:tc>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35.5%</w:t>
            </w:r>
          </w:p>
        </w:tc>
        <w:tc>
          <w:tcPr>
            <w:tcW w:type="dxa" w:w="31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5,7,9,11,12,17,20,21,33  (9/10)</w:t>
            </w:r>
          </w:p>
        </w:tc>
        <w:tc>
          <w:tcPr>
            <w:tcW w:type="dxa" w:w="13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90%</w:t>
            </w:r>
          </w:p>
        </w:tc>
      </w:tr>
    </w:tbl>
    <w:p>
      <w:pPr>
        <w:spacing w:after="80"/>
      </w:pPr>
      <w:r>
        <w:t xml:space="preserve"/>
      </w:r>
    </w:p>
    <w:p>
      <w:pPr>
        <w:pBdr>
          <w:top w:val="nil"/>
          <w:left w:val="thick" w:color="C05621" w:sz="18"/>
          <w:bottom w:val="nil"/>
          <w:right w:val="nil"/>
        </w:pBdr>
        <w:shd w:fill="FFFBEB" w:val="clear"/>
        <w:spacing w:after="60" w:before="60"/>
        <w:ind w:left="280"/>
        <w:jc w:val="left"/>
      </w:pPr>
      <w:r>
        <w:rPr>
          <w:rFonts w:ascii="Arial" w:cs="Arial" w:eastAsia="Arial" w:hAnsi="Arial"/>
          <w:b w:val="false"/>
          <w:bCs w:val="false"/>
          <w:i w:val="false"/>
          <w:iCs w:val="false"/>
          <w:color w:val="7B341E"/>
          <w:sz w:val="19"/>
          <w:szCs w:val="19"/>
        </w:rPr>
        <w:t xml:space="preserve">WARN:   ATCI is an indicator-based screening tool -- not a substitute for legal determination by courts or qualified experts.</w:t>
      </w:r>
    </w:p>
    <w:p>
      <w:pPr>
        <w:pBdr>
          <w:top w:val="nil"/>
          <w:left w:val="thick" w:color="553C9A" w:sz="18"/>
          <w:bottom w:val="nil"/>
          <w:right w:val="nil"/>
        </w:pBdr>
        <w:shd w:fill="FAF5FF" w:val="clear"/>
        <w:spacing w:after="60" w:before="60"/>
        <w:ind w:left="280"/>
        <w:jc w:val="left"/>
      </w:pPr>
      <w:r>
        <w:rPr>
          <w:rFonts w:ascii="Arial" w:cs="Arial" w:eastAsia="Arial" w:hAnsi="Arial"/>
          <w:b w:val="false"/>
          <w:bCs w:val="false"/>
          <w:i w:val="false"/>
          <w:iCs w:val="false"/>
          <w:color w:val="44337A"/>
          <w:sz w:val="19"/>
          <w:szCs w:val="19"/>
        </w:rPr>
        <w:t xml:space="preserve">RESULT: Blue Nile (GERD): ATCI = 70% -- 7 of 10 UNWC articles triggered.</w:t>
      </w:r>
    </w:p>
    <w:p>
      <w:pPr>
        <w:spacing w:after="80"/>
      </w:pPr>
      <w:r>
        <w:t xml:space="preserve"/>
      </w:r>
    </w:p>
    <w:p>
      <w:pPr>
        <w:pStyle w:val="Heading1"/>
        <w:pageBreakBefore/>
        <w:pBdr>
          <w:bottom w:val="single" w:color="0E6B6A" w:sz="6"/>
        </w:pBdr>
        <w:shd w:fill="061F4A" w:val="clear"/>
        <w:spacing w:after="200" w:before="0"/>
        <w:ind w:left="260"/>
      </w:pPr>
      <w:r>
        <w:rPr>
          <w:rFonts w:ascii="Arial" w:cs="Arial" w:eastAsia="Arial" w:hAnsi="Arial"/>
          <w:b/>
          <w:bCs/>
          <w:i w:val="false"/>
          <w:iCs w:val="false"/>
          <w:color w:val="FFFFFF"/>
          <w:sz w:val="28"/>
          <w:szCs w:val="28"/>
        </w:rPr>
        <w:t xml:space="preserve">Chapter 5 -- Processing Toolbox Algorithms (5)</w:t>
      </w:r>
    </w:p>
    <w:p>
      <w:pPr>
        <w:spacing w:after="85" w:before="0"/>
        <w:jc w:val="left"/>
      </w:pPr>
      <w:r>
        <w:rPr>
          <w:rFonts w:ascii="Arial" w:cs="Arial" w:eastAsia="Arial" w:hAnsi="Arial"/>
          <w:b w:val="false"/>
          <w:bCs w:val="false"/>
          <w:i w:val="false"/>
          <w:iCs w:val="false"/>
          <w:color w:val="1A202C"/>
          <w:sz w:val="20"/>
          <w:szCs w:val="20"/>
        </w:rPr>
        <w:t xml:space="preserve">Access: Processing --&gt; Toolbox (Ctrl+Alt+T) --&gt; HydroSovereign AI Engine v6.0.3</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5.1  ATDI Calculator  (HSAE Indices)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500"/>
        <w:gridCol w:w="2000"/>
        <w:gridCol w:w="4500"/>
      </w:tblGrid>
      <w:tr>
        <w:trPr>
          <w:tblHeader/>
        </w:trPr>
        <w:tc>
          <w:tcPr>
            <w:tcW w:type="dxa" w:w="2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Parameter</w:t>
            </w:r>
          </w:p>
        </w:tc>
        <w:tc>
          <w:tcPr>
            <w:tcW w:type="dxa" w:w="2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Default Blue Nile</w:t>
            </w:r>
          </w:p>
        </w:tc>
        <w:tc>
          <w:tcPr>
            <w:tcW w:type="dxa" w:w="4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Description</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Runoff Coefficient</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0.38</w:t>
            </w:r>
          </w:p>
        </w:tc>
        <w:tc>
          <w:tcPr>
            <w:tcW w:type="dxa" w:w="4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Basin-average runoff ratio (0.1-0.9)</w:t>
            </w:r>
          </w:p>
        </w:tc>
      </w:tr>
      <w:tr>
        <w:trPr>
          <w:tblHeader w:val="false"/>
        </w:trPr>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Dam Capacity (BCM)</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74.0</w:t>
            </w:r>
          </w:p>
        </w:tc>
        <w:tc>
          <w:tcPr>
            <w:tcW w:type="dxa" w:w="4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Total reservoir storage in billion cubic metres</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Number of Countries</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w:t>
            </w:r>
          </w:p>
        </w:tc>
        <w:tc>
          <w:tcPr>
            <w:tcW w:type="dxa" w:w="4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Riparian state count (2-12)</w:t>
            </w:r>
          </w:p>
        </w:tc>
      </w:tr>
      <w:tr>
        <w:trPr>
          <w:tblHeader w:val="false"/>
        </w:trPr>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Dispute Level (1-5)</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w:t>
            </w:r>
          </w:p>
        </w:tc>
        <w:tc>
          <w:tcPr>
            <w:tcW w:type="dxa" w:w="4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TFDD/ICOW conflict intensity (1=low, 5=high)</w:t>
            </w:r>
          </w:p>
        </w:tc>
      </w:tr>
    </w:tbl>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Processing Toolbox --&gt; HSAE Indices --&gt; ATDI Calculator --&gt; double-click</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Fill parameters --&gt; Click Run --&gt; result in Log tab</w:t>
      </w:r>
    </w:p>
    <w:p>
      <w:pPr>
        <w:pBdr>
          <w:top w:val="nil"/>
          <w:left w:val="thick" w:color="553C9A" w:sz="18"/>
          <w:bottom w:val="nil"/>
          <w:right w:val="nil"/>
        </w:pBdr>
        <w:shd w:fill="FAF5FF" w:val="clear"/>
        <w:spacing w:after="60" w:before="60"/>
        <w:ind w:left="280"/>
        <w:jc w:val="left"/>
      </w:pPr>
      <w:r>
        <w:rPr>
          <w:rFonts w:ascii="Arial" w:cs="Arial" w:eastAsia="Arial" w:hAnsi="Arial"/>
          <w:b w:val="false"/>
          <w:bCs w:val="false"/>
          <w:i w:val="false"/>
          <w:iCs w:val="false"/>
          <w:color w:val="44337A"/>
          <w:sz w:val="19"/>
          <w:szCs w:val="19"/>
        </w:rPr>
        <w:t xml:space="preserve">RESULT: GERD: RC=0.38, Cap=74 BCM, Countries=3, Dispute=4 --&gt; ATDI = 43.5% --&gt; Article 7 zone</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5.2  HIFD Calculator  (HSAE Indices)</w:t>
      </w:r>
    </w:p>
    <w:p>
      <w:pPr>
        <w:pBdr>
          <w:top w:val="nil"/>
          <w:left w:val="thick" w:color="0B3D8E" w:sz="16"/>
          <w:bottom w:val="nil"/>
          <w:right w:val="nil"/>
        </w:pBdr>
        <w:shd w:fill="EDF2F7" w:val="clear"/>
        <w:spacing w:after="60" w:before="60"/>
        <w:ind w:left="280"/>
      </w:pPr>
      <w:r>
        <w:rPr>
          <w:rFonts w:ascii="Courier New" w:cs="Courier New" w:eastAsia="Courier New" w:hAnsi="Courier New"/>
          <w:color w:val="1A365D"/>
          <w:sz w:val="18"/>
          <w:szCs w:val="18"/>
        </w:rPr>
        <w:t xml:space="preserve">HIFD = [(Q_nat - Q_obs) / Q_nat] x 100%</w:t>
      </w:r>
    </w:p>
    <w:p>
      <w:pPr>
        <w:spacing w:after="85" w:before="0"/>
        <w:jc w:val="left"/>
      </w:pPr>
      <w:r>
        <w:rPr>
          <w:rFonts w:ascii="Arial" w:cs="Arial" w:eastAsia="Arial" w:hAnsi="Arial"/>
          <w:b w:val="false"/>
          <w:bCs w:val="false"/>
          <w:i w:val="false"/>
          <w:iCs w:val="false"/>
          <w:color w:val="1A202C"/>
          <w:sz w:val="20"/>
          <w:szCs w:val="20"/>
        </w:rPr>
        <w:t xml:space="preserve">Same parameters as ATDI Calculator.</w:t>
      </w:r>
    </w:p>
    <w:p>
      <w:pPr>
        <w:pBdr>
          <w:top w:val="nil"/>
          <w:left w:val="thick" w:color="553C9A" w:sz="18"/>
          <w:bottom w:val="nil"/>
          <w:right w:val="nil"/>
        </w:pBdr>
        <w:shd w:fill="FAF5FF" w:val="clear"/>
        <w:spacing w:after="60" w:before="60"/>
        <w:ind w:left="280"/>
        <w:jc w:val="left"/>
      </w:pPr>
      <w:r>
        <w:rPr>
          <w:rFonts w:ascii="Arial" w:cs="Arial" w:eastAsia="Arial" w:hAnsi="Arial"/>
          <w:b w:val="false"/>
          <w:bCs w:val="false"/>
          <w:i w:val="false"/>
          <w:iCs w:val="false"/>
          <w:color w:val="44337A"/>
          <w:sz w:val="19"/>
          <w:szCs w:val="19"/>
        </w:rPr>
        <w:t xml:space="preserve">RESULT: GERD: HIFD = 20.0% -- 20% of natural annual downstream flow withheld</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5.3  Basin Legal Report  (HSAE Reports)</w:t>
      </w:r>
    </w:p>
    <w:p>
      <w:pPr>
        <w:spacing w:after="85" w:before="0"/>
        <w:jc w:val="left"/>
      </w:pPr>
      <w:r>
        <w:rPr>
          <w:rFonts w:ascii="Arial" w:cs="Arial" w:eastAsia="Arial" w:hAnsi="Arial"/>
          <w:b w:val="false"/>
          <w:bCs w:val="false"/>
          <w:i w:val="false"/>
          <w:iCs w:val="false"/>
          <w:color w:val="1A202C"/>
          <w:sz w:val="20"/>
          <w:szCs w:val="20"/>
        </w:rPr>
        <w:t xml:space="preserve">Generates complete UNWC 1997 legal assessment as TXT or HTML.</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HSAE Reports --&gt; Basin Legal Report --&gt; double-click</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Select basin: Blue Nile. Format: HTML. Output path. Click Run.</w:t>
      </w:r>
    </w:p>
    <w:p>
      <w:pPr>
        <w:pBdr>
          <w:top w:val="nil"/>
          <w:left w:val="thick" w:color="553C9A" w:sz="18"/>
          <w:bottom w:val="nil"/>
          <w:right w:val="nil"/>
        </w:pBdr>
        <w:shd w:fill="FAF5FF" w:val="clear"/>
        <w:spacing w:after="60" w:before="60"/>
        <w:ind w:left="280"/>
        <w:jc w:val="left"/>
      </w:pPr>
      <w:r>
        <w:rPr>
          <w:rFonts w:ascii="Arial" w:cs="Arial" w:eastAsia="Arial" w:hAnsi="Arial"/>
          <w:b w:val="false"/>
          <w:bCs w:val="false"/>
          <w:i w:val="false"/>
          <w:iCs w:val="false"/>
          <w:color w:val="44337A"/>
          <w:sz w:val="19"/>
          <w:szCs w:val="19"/>
        </w:rPr>
        <w:t xml:space="preserve">RESULT: GERD report: Arts. 5,7,9,11,12,17,21 triggered --&gt; Art. 17 Mediation recommended</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5.4  HBV-96 Calibration SCE-UA  (HSAE Hydrology)</w:t>
      </w:r>
    </w:p>
    <w:p>
      <w:pPr>
        <w:pBdr>
          <w:top w:val="nil"/>
          <w:left w:val="thick" w:color="0B3D8E" w:sz="16"/>
          <w:bottom w:val="nil"/>
          <w:right w:val="nil"/>
        </w:pBdr>
        <w:shd w:fill="EDF2F7" w:val="clear"/>
        <w:spacing w:after="0" w:before="60"/>
        <w:ind w:left="280"/>
      </w:pPr>
      <w:r>
        <w:rPr>
          <w:rFonts w:ascii="Courier New" w:cs="Courier New" w:eastAsia="Courier New" w:hAnsi="Courier New"/>
          <w:color w:val="1A365D"/>
          <w:sz w:val="18"/>
          <w:szCs w:val="18"/>
        </w:rPr>
        <w:t xml:space="preserve">Objective: maximise NSE = 1 - [sum(Q_obs-Q_sim)^2]/[sum(Q_obs-Q_mean)^2]</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Method: SCE-UA (Shuffled Complex Evolution -- Duan et al. 1993)</w:t>
      </w:r>
    </w:p>
    <w:p>
      <w:pPr>
        <w:pBdr>
          <w:top w:val="nil"/>
          <w:left w:val="thick" w:color="0B3D8E" w:sz="16"/>
          <w:bottom w:val="nil"/>
          <w:right w:val="nil"/>
        </w:pBdr>
        <w:shd w:fill="EDF2F7" w:val="clear"/>
        <w:spacing w:after="60" w:before="0"/>
        <w:ind w:left="280"/>
      </w:pPr>
      <w:r>
        <w:rPr>
          <w:rFonts w:ascii="Courier New" w:cs="Courier New" w:eastAsia="Courier New" w:hAnsi="Courier New"/>
          <w:color w:val="1A365D"/>
          <w:sz w:val="18"/>
          <w:szCs w:val="18"/>
        </w:rPr>
        <w:t xml:space="preserve">Ensemble: EnKF n=200 members with SMAP assimilation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500"/>
        <w:gridCol w:w="2500"/>
        <w:gridCol w:w="4000"/>
      </w:tblGrid>
      <w:tr>
        <w:trPr>
          <w:tblHeader/>
        </w:trPr>
        <w:tc>
          <w:tcPr>
            <w:tcW w:type="dxa" w:w="2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Parameter</w:t>
            </w:r>
          </w:p>
        </w:tc>
        <w:tc>
          <w:tcPr>
            <w:tcW w:type="dxa" w:w="2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Value</w:t>
            </w:r>
          </w:p>
        </w:tc>
        <w:tc>
          <w:tcPr>
            <w:tcW w:type="dxa" w:w="4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Notes</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Q_obs source</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GloFAS ERA5 v4 (proxy)</w:t>
            </w:r>
          </w:p>
        </w:tc>
        <w:tc>
          <w:tcPr>
            <w:tcW w:type="dxa" w:w="4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No open GRDC data for GERD at basin scale 2024</w:t>
            </w:r>
          </w:p>
        </w:tc>
      </w:tr>
      <w:tr>
        <w:trPr>
          <w:tblHeader w:val="false"/>
        </w:trPr>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Calibration</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SCE-UA, 1000 iterations</w:t>
            </w:r>
          </w:p>
        </w:tc>
        <w:tc>
          <w:tcPr>
            <w:tcW w:type="dxa" w:w="4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Global optimisation</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Target NSE</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&gt;=0.70</w:t>
            </w:r>
          </w:p>
        </w:tc>
        <w:tc>
          <w:tcPr>
            <w:tcW w:type="dxa" w:w="4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Post-calibration goal with GRDC data</w:t>
            </w:r>
          </w:p>
        </w:tc>
      </w:tr>
      <w:tr>
        <w:trPr>
          <w:tblHeader w:val="false"/>
        </w:trPr>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Proxy NSE achieved</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0.63</w:t>
            </w:r>
          </w:p>
        </w:tc>
        <w:tc>
          <w:tcPr>
            <w:tcW w:type="dxa" w:w="4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Satisfactory per Moriasi et al. 2007</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Proxy KGE achieved</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0.74</w:t>
            </w:r>
          </w:p>
        </w:tc>
        <w:tc>
          <w:tcPr>
            <w:tcW w:type="dxa" w:w="4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Satisfactory per Moriasi et al. 2007</w:t>
            </w:r>
          </w:p>
        </w:tc>
      </w:tr>
    </w:tbl>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HSAE Hydrology --&gt; HBV-96 Calibration --&gt; double-click</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Q_obs: GloFAS ERA5 v4. Basin area: 174000 km2. Period: 2015-2024. Iter: 1000.</w:t>
      </w:r>
    </w:p>
    <w:p>
      <w:pPr>
        <w:shd w:fill="F7FAFC" w:val="clear"/>
        <w:spacing w:after="55" w:before="35"/>
        <w:ind w:left="160"/>
        <w:jc w:val="left"/>
      </w:pPr>
      <w:r>
        <w:rPr>
          <w:rFonts w:ascii="Arial" w:cs="Arial" w:eastAsia="Arial" w:hAnsi="Arial"/>
          <w:b/>
          <w:bCs/>
          <w:i w:val="false"/>
          <w:iCs w:val="false"/>
          <w:color w:val="0E6B6A"/>
          <w:sz w:val="20"/>
          <w:szCs w:val="20"/>
        </w:rPr>
        <w:t xml:space="preserve">Step 3:  </w:t>
      </w:r>
      <w:r>
        <w:rPr>
          <w:rFonts w:ascii="Arial" w:cs="Arial" w:eastAsia="Arial" w:hAnsi="Arial"/>
          <w:b w:val="false"/>
          <w:bCs w:val="false"/>
          <w:i w:val="false"/>
          <w:iCs w:val="false"/>
          <w:color w:val="1A202C"/>
          <w:sz w:val="20"/>
          <w:szCs w:val="20"/>
        </w:rPr>
        <w:t xml:space="preserve">Run --&gt; ~30-60 seconds --&gt; NSE=0.63, KGE=0.74, parameter file saved to JSON</w:t>
      </w:r>
    </w:p>
    <w:p>
      <w:pPr>
        <w:pBdr>
          <w:top w:val="nil"/>
          <w:left w:val="thick" w:color="0B3D8E" w:sz="18"/>
          <w:bottom w:val="nil"/>
          <w:right w:val="nil"/>
        </w:pBdr>
        <w:shd w:fill="EBF4FF" w:val="clear"/>
        <w:spacing w:after="60" w:before="60"/>
        <w:ind w:left="280"/>
        <w:jc w:val="left"/>
      </w:pPr>
      <w:r>
        <w:rPr>
          <w:rFonts w:ascii="Arial" w:cs="Arial" w:eastAsia="Arial" w:hAnsi="Arial"/>
          <w:b w:val="false"/>
          <w:bCs w:val="false"/>
          <w:i w:val="false"/>
          <w:iCs w:val="false"/>
          <w:color w:val="1A365D"/>
          <w:sz w:val="19"/>
          <w:szCs w:val="19"/>
        </w:rPr>
        <w:t xml:space="preserve">NOTE:   Ground-truth pending GRDC Request ID: 78949 (El Diem, 174,000 km2).</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5.5  Multi-Basin Comparison  (HSAE Reports)</w:t>
      </w:r>
    </w:p>
    <w:p>
      <w:pPr>
        <w:spacing w:after="85" w:before="0"/>
        <w:jc w:val="left"/>
      </w:pPr>
      <w:r>
        <w:rPr>
          <w:rFonts w:ascii="Arial" w:cs="Arial" w:eastAsia="Arial" w:hAnsi="Arial"/>
          <w:b w:val="false"/>
          <w:bCs w:val="false"/>
          <w:i w:val="false"/>
          <w:iCs w:val="false"/>
          <w:color w:val="1A202C"/>
          <w:sz w:val="20"/>
          <w:szCs w:val="20"/>
        </w:rPr>
        <w:t xml:space="preserve">Generates ranked comparative report for selected basins. Output: CSV + HTML side-by-side.</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HSAE Reports --&gt; Multi-Basin Comparison --&gt; double-click</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Select: Blue Nile, Mekong, Euphrates, Zambezi --&gt; Format: CSV + HTML --&gt; Run</w:t>
      </w:r>
    </w:p>
    <w:p>
      <w:pPr>
        <w:spacing w:after="80"/>
      </w:pPr>
      <w:r>
        <w:t xml:space="preserve"/>
      </w:r>
    </w:p>
    <w:p>
      <w:pPr>
        <w:pStyle w:val="Heading1"/>
        <w:pageBreakBefore/>
        <w:pBdr>
          <w:bottom w:val="single" w:color="0E6B6A" w:sz="6"/>
        </w:pBdr>
        <w:shd w:fill="061F4A" w:val="clear"/>
        <w:spacing w:after="200" w:before="0"/>
        <w:ind w:left="260"/>
      </w:pPr>
      <w:r>
        <w:rPr>
          <w:rFonts w:ascii="Arial" w:cs="Arial" w:eastAsia="Arial" w:hAnsi="Arial"/>
          <w:b/>
          <w:bCs/>
          <w:i w:val="false"/>
          <w:iCs w:val="false"/>
          <w:color w:val="FFFFFF"/>
          <w:sz w:val="28"/>
          <w:szCs w:val="28"/>
        </w:rPr>
        <w:t xml:space="preserve">Chapter 6 -- The 26 Registered Basins</w:t>
      </w:r>
    </w:p>
    <w:p>
      <w:pPr>
        <w:spacing w:after="85" w:before="0"/>
        <w:jc w:val="left"/>
      </w:pPr>
      <w:r>
        <w:rPr>
          <w:rFonts w:ascii="Arial" w:cs="Arial" w:eastAsia="Arial" w:hAnsi="Arial"/>
          <w:b w:val="false"/>
          <w:bCs w:val="false"/>
          <w:i w:val="false"/>
          <w:iCs w:val="false"/>
          <w:color w:val="1A202C"/>
          <w:sz w:val="20"/>
          <w:szCs w:val="20"/>
        </w:rPr>
        <w:t xml:space="preserve">Risk colour code: Green &lt;20% -- Yellow 20-40% -- Orange 40-55% -- Red 55-70% -- Purple &gt;=70%</w:t>
      </w:r>
    </w:p>
    <w:p>
      <w:pPr>
        <w:spacing w:after="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50"/>
        <w:gridCol w:w="1800"/>
        <w:gridCol w:w="1350"/>
        <w:gridCol w:w="700"/>
        <w:gridCol w:w="700"/>
        <w:gridCol w:w="850"/>
        <w:gridCol w:w="850"/>
        <w:gridCol w:w="700"/>
      </w:tblGrid>
      <w:tr>
        <w:trPr>
          <w:tblHeader/>
        </w:trPr>
        <w:tc>
          <w:tcPr>
            <w:tcW w:type="dxa" w:w="35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w:t>
            </w:r>
          </w:p>
        </w:tc>
        <w:tc>
          <w:tcPr>
            <w:tcW w:type="dxa" w:w="18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Basin</w:t>
            </w:r>
          </w:p>
        </w:tc>
        <w:tc>
          <w:tcPr>
            <w:tcW w:type="dxa" w:w="135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Dam</w:t>
            </w:r>
          </w:p>
        </w:tc>
        <w:tc>
          <w:tcPr>
            <w:tcW w:type="dxa" w:w="7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BCM</w:t>
            </w:r>
          </w:p>
        </w:tc>
        <w:tc>
          <w:tcPr>
            <w:tcW w:type="dxa" w:w="7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States</w:t>
            </w:r>
          </w:p>
        </w:tc>
        <w:tc>
          <w:tcPr>
            <w:tcW w:type="dxa" w:w="85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ATDI</w:t>
            </w:r>
          </w:p>
        </w:tc>
        <w:tc>
          <w:tcPr>
            <w:tcW w:type="dxa" w:w="85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HIFD</w:t>
            </w:r>
          </w:p>
        </w:tc>
        <w:tc>
          <w:tcPr>
            <w:tcW w:type="dxa" w:w="7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Zone</w:t>
            </w:r>
          </w:p>
        </w:tc>
      </w:tr>
      <w:tr>
        <w:tc>
          <w:tcPr>
            <w:tcW w:type="dxa" w:w="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061F4A"/>
                <w:sz w:val="18"/>
                <w:szCs w:val="18"/>
              </w:rPr>
              <w:t xml:space="preserve">1</w:t>
            </w:r>
          </w:p>
        </w:tc>
        <w:tc>
          <w:tcPr>
            <w:tcW w:type="dxa" w:w="1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1A202C"/>
                <w:sz w:val="18"/>
                <w:szCs w:val="18"/>
              </w:rPr>
              <w:t xml:space="preserve">Blue Nile</w:t>
            </w:r>
          </w:p>
        </w:tc>
        <w:tc>
          <w:tcPr>
            <w:tcW w:type="dxa" w:w="1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GERD</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74</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w:t>
            </w:r>
          </w:p>
        </w:tc>
        <w:tc>
          <w:tcPr>
            <w:tcW w:type="dxa" w:w="8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C05621"/>
                <w:sz w:val="18"/>
                <w:szCs w:val="18"/>
              </w:rPr>
              <w:t xml:space="preserve">43.5%</w:t>
            </w:r>
          </w:p>
        </w:tc>
        <w:tc>
          <w:tcPr>
            <w:tcW w:type="dxa" w:w="8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6"/>
                <w:szCs w:val="16"/>
              </w:rPr>
              <w:t xml:space="preserve">Art.9</w:t>
            </w:r>
          </w:p>
        </w:tc>
      </w:tr>
      <w:tr>
        <w:tc>
          <w:tcPr>
            <w:tcW w:type="dxa" w:w="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061F4A"/>
                <w:sz w:val="18"/>
                <w:szCs w:val="18"/>
              </w:rPr>
              <w:t xml:space="preserve">2</w:t>
            </w:r>
          </w:p>
        </w:tc>
        <w:tc>
          <w:tcPr>
            <w:tcW w:type="dxa" w:w="1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1A202C"/>
                <w:sz w:val="18"/>
                <w:szCs w:val="18"/>
              </w:rPr>
              <w:t xml:space="preserve">Nile</w:t>
            </w:r>
          </w:p>
        </w:tc>
        <w:tc>
          <w:tcPr>
            <w:tcW w:type="dxa" w:w="1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Aswan</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162</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w:t>
            </w:r>
          </w:p>
        </w:tc>
        <w:tc>
          <w:tcPr>
            <w:tcW w:type="dxa" w:w="8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7B6000"/>
                <w:sz w:val="18"/>
                <w:szCs w:val="18"/>
              </w:rPr>
              <w:t xml:space="preserve">33.1%</w:t>
            </w:r>
          </w:p>
        </w:tc>
        <w:tc>
          <w:tcPr>
            <w:tcW w:type="dxa" w:w="8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32.2%</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6"/>
                <w:szCs w:val="16"/>
              </w:rPr>
              <w:t xml:space="preserve">Art.7</w:t>
            </w:r>
          </w:p>
        </w:tc>
      </w:tr>
      <w:tr>
        <w:tc>
          <w:tcPr>
            <w:tcW w:type="dxa" w:w="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061F4A"/>
                <w:sz w:val="18"/>
                <w:szCs w:val="18"/>
              </w:rPr>
              <w:t xml:space="preserve">3</w:t>
            </w:r>
          </w:p>
        </w:tc>
        <w:tc>
          <w:tcPr>
            <w:tcW w:type="dxa" w:w="1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1A202C"/>
                <w:sz w:val="18"/>
                <w:szCs w:val="18"/>
              </w:rPr>
              <w:t xml:space="preserve">Nile</w:t>
            </w:r>
          </w:p>
        </w:tc>
        <w:tc>
          <w:tcPr>
            <w:tcW w:type="dxa" w:w="1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Roseires</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7.4</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w:t>
            </w:r>
          </w:p>
        </w:tc>
        <w:tc>
          <w:tcPr>
            <w:tcW w:type="dxa" w:w="8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7B6000"/>
                <w:sz w:val="18"/>
                <w:szCs w:val="18"/>
              </w:rPr>
              <w:t xml:space="preserve">28.4%</w:t>
            </w:r>
          </w:p>
        </w:tc>
        <w:tc>
          <w:tcPr>
            <w:tcW w:type="dxa" w:w="8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24.1%</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6"/>
                <w:szCs w:val="16"/>
              </w:rPr>
              <w:t xml:space="preserve">Art.7</w:t>
            </w:r>
          </w:p>
        </w:tc>
      </w:tr>
      <w:tr>
        <w:tc>
          <w:tcPr>
            <w:tcW w:type="dxa" w:w="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061F4A"/>
                <w:sz w:val="18"/>
                <w:szCs w:val="18"/>
              </w:rPr>
              <w:t xml:space="preserve">4</w:t>
            </w:r>
          </w:p>
        </w:tc>
        <w:tc>
          <w:tcPr>
            <w:tcW w:type="dxa" w:w="1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1A202C"/>
                <w:sz w:val="18"/>
                <w:szCs w:val="18"/>
              </w:rPr>
              <w:t xml:space="preserve">Zambezi</w:t>
            </w:r>
          </w:p>
        </w:tc>
        <w:tc>
          <w:tcPr>
            <w:tcW w:type="dxa" w:w="1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Kariba</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180.6</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w:t>
            </w:r>
          </w:p>
        </w:tc>
        <w:tc>
          <w:tcPr>
            <w:tcW w:type="dxa" w:w="8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7B6000"/>
                <w:sz w:val="18"/>
                <w:szCs w:val="18"/>
              </w:rPr>
              <w:t xml:space="preserve">31.1%</w:t>
            </w:r>
          </w:p>
        </w:tc>
        <w:tc>
          <w:tcPr>
            <w:tcW w:type="dxa" w:w="8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29.2%</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6"/>
                <w:szCs w:val="16"/>
              </w:rPr>
              <w:t xml:space="preserve">Art.7</w:t>
            </w:r>
          </w:p>
        </w:tc>
      </w:tr>
      <w:tr>
        <w:tc>
          <w:tcPr>
            <w:tcW w:type="dxa" w:w="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061F4A"/>
                <w:sz w:val="18"/>
                <w:szCs w:val="18"/>
              </w:rPr>
              <w:t xml:space="preserve">5</w:t>
            </w:r>
          </w:p>
        </w:tc>
        <w:tc>
          <w:tcPr>
            <w:tcW w:type="dxa" w:w="1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1A202C"/>
                <w:sz w:val="18"/>
                <w:szCs w:val="18"/>
              </w:rPr>
              <w:t xml:space="preserve">Congo</w:t>
            </w:r>
          </w:p>
        </w:tc>
        <w:tc>
          <w:tcPr>
            <w:tcW w:type="dxa" w:w="1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Inga</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8</w:t>
            </w:r>
          </w:p>
        </w:tc>
        <w:tc>
          <w:tcPr>
            <w:tcW w:type="dxa" w:w="8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C05621"/>
                <w:sz w:val="18"/>
                <w:szCs w:val="18"/>
              </w:rPr>
              <w:t xml:space="preserve">49.1%</w:t>
            </w:r>
          </w:p>
        </w:tc>
        <w:tc>
          <w:tcPr>
            <w:tcW w:type="dxa" w:w="8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28.5%</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6"/>
                <w:szCs w:val="16"/>
              </w:rPr>
              <w:t xml:space="preserve">Art.9</w:t>
            </w:r>
          </w:p>
        </w:tc>
      </w:tr>
      <w:tr>
        <w:tc>
          <w:tcPr>
            <w:tcW w:type="dxa" w:w="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061F4A"/>
                <w:sz w:val="18"/>
                <w:szCs w:val="18"/>
              </w:rPr>
              <w:t xml:space="preserve">6</w:t>
            </w:r>
          </w:p>
        </w:tc>
        <w:tc>
          <w:tcPr>
            <w:tcW w:type="dxa" w:w="1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1A202C"/>
                <w:sz w:val="18"/>
                <w:szCs w:val="18"/>
              </w:rPr>
              <w:t xml:space="preserve">Niger</w:t>
            </w:r>
          </w:p>
        </w:tc>
        <w:tc>
          <w:tcPr>
            <w:tcW w:type="dxa" w:w="1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Kainji</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15</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9</w:t>
            </w:r>
          </w:p>
        </w:tc>
        <w:tc>
          <w:tcPr>
            <w:tcW w:type="dxa" w:w="8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C05621"/>
                <w:sz w:val="18"/>
                <w:szCs w:val="18"/>
              </w:rPr>
              <w:t xml:space="preserve">52.4%</w:t>
            </w:r>
          </w:p>
        </w:tc>
        <w:tc>
          <w:tcPr>
            <w:tcW w:type="dxa" w:w="8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37.2%</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6"/>
                <w:szCs w:val="16"/>
              </w:rPr>
              <w:t xml:space="preserve">Art.9</w:t>
            </w:r>
          </w:p>
        </w:tc>
      </w:tr>
      <w:tr>
        <w:tc>
          <w:tcPr>
            <w:tcW w:type="dxa" w:w="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061F4A"/>
                <w:sz w:val="18"/>
                <w:szCs w:val="18"/>
              </w:rPr>
              <w:t xml:space="preserve">7</w:t>
            </w:r>
          </w:p>
        </w:tc>
        <w:tc>
          <w:tcPr>
            <w:tcW w:type="dxa" w:w="1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1A202C"/>
                <w:sz w:val="18"/>
                <w:szCs w:val="18"/>
              </w:rPr>
              <w:t xml:space="preserve">Euphrates</w:t>
            </w:r>
          </w:p>
        </w:tc>
        <w:tc>
          <w:tcPr>
            <w:tcW w:type="dxa" w:w="1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Ataturk</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48.7</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w:t>
            </w:r>
          </w:p>
        </w:tc>
        <w:tc>
          <w:tcPr>
            <w:tcW w:type="dxa" w:w="8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C05621"/>
                <w:sz w:val="18"/>
                <w:szCs w:val="18"/>
              </w:rPr>
              <w:t xml:space="preserve">44.5%</w:t>
            </w:r>
          </w:p>
        </w:tc>
        <w:tc>
          <w:tcPr>
            <w:tcW w:type="dxa" w:w="8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34.9%</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6"/>
                <w:szCs w:val="16"/>
              </w:rPr>
              <w:t xml:space="preserve">Art.9</w:t>
            </w:r>
          </w:p>
        </w:tc>
      </w:tr>
      <w:tr>
        <w:tc>
          <w:tcPr>
            <w:tcW w:type="dxa" w:w="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061F4A"/>
                <w:sz w:val="18"/>
                <w:szCs w:val="18"/>
              </w:rPr>
              <w:t xml:space="preserve">8</w:t>
            </w:r>
          </w:p>
        </w:tc>
        <w:tc>
          <w:tcPr>
            <w:tcW w:type="dxa" w:w="1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1A202C"/>
                <w:sz w:val="18"/>
                <w:szCs w:val="18"/>
              </w:rPr>
              <w:t xml:space="preserve">Tigris</w:t>
            </w:r>
          </w:p>
        </w:tc>
        <w:tc>
          <w:tcPr>
            <w:tcW w:type="dxa" w:w="1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Mosul</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11.1</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w:t>
            </w:r>
          </w:p>
        </w:tc>
        <w:tc>
          <w:tcPr>
            <w:tcW w:type="dxa" w:w="8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7B6000"/>
                <w:sz w:val="18"/>
                <w:szCs w:val="18"/>
              </w:rPr>
              <w:t xml:space="preserve">32.5%</w:t>
            </w:r>
          </w:p>
        </w:tc>
        <w:tc>
          <w:tcPr>
            <w:tcW w:type="dxa" w:w="8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29.1%</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6"/>
                <w:szCs w:val="16"/>
              </w:rPr>
              <w:t xml:space="preserve">Art.7</w:t>
            </w:r>
          </w:p>
        </w:tc>
      </w:tr>
      <w:tr>
        <w:tc>
          <w:tcPr>
            <w:tcW w:type="dxa" w:w="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061F4A"/>
                <w:sz w:val="18"/>
                <w:szCs w:val="18"/>
              </w:rPr>
              <w:t xml:space="preserve">9</w:t>
            </w:r>
          </w:p>
        </w:tc>
        <w:tc>
          <w:tcPr>
            <w:tcW w:type="dxa" w:w="1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1A202C"/>
                <w:sz w:val="18"/>
                <w:szCs w:val="18"/>
              </w:rPr>
              <w:t xml:space="preserve">Vakhsh</w:t>
            </w:r>
          </w:p>
        </w:tc>
        <w:tc>
          <w:tcPr>
            <w:tcW w:type="dxa" w:w="1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Nurek</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10.5</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w:t>
            </w:r>
          </w:p>
        </w:tc>
        <w:tc>
          <w:tcPr>
            <w:tcW w:type="dxa" w:w="8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9B2335"/>
                <w:sz w:val="18"/>
                <w:szCs w:val="18"/>
              </w:rPr>
              <w:t xml:space="preserve">56.8%</w:t>
            </w:r>
          </w:p>
        </w:tc>
        <w:tc>
          <w:tcPr>
            <w:tcW w:type="dxa" w:w="8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35.5%</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6"/>
                <w:szCs w:val="16"/>
              </w:rPr>
              <w:t xml:space="preserve">Art.33</w:t>
            </w:r>
          </w:p>
        </w:tc>
      </w:tr>
      <w:tr>
        <w:tc>
          <w:tcPr>
            <w:tcW w:type="dxa" w:w="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061F4A"/>
                <w:sz w:val="18"/>
                <w:szCs w:val="18"/>
              </w:rPr>
              <w:t xml:space="preserve">10</w:t>
            </w:r>
          </w:p>
        </w:tc>
        <w:tc>
          <w:tcPr>
            <w:tcW w:type="dxa" w:w="1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1A202C"/>
                <w:sz w:val="18"/>
                <w:szCs w:val="18"/>
              </w:rPr>
              <w:t xml:space="preserve">Syr Darya</w:t>
            </w:r>
          </w:p>
        </w:tc>
        <w:tc>
          <w:tcPr>
            <w:tcW w:type="dxa" w:w="1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Toktogul</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19.5</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w:t>
            </w:r>
          </w:p>
        </w:tc>
        <w:tc>
          <w:tcPr>
            <w:tcW w:type="dxa" w:w="8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C05621"/>
                <w:sz w:val="18"/>
                <w:szCs w:val="18"/>
              </w:rPr>
              <w:t xml:space="preserve">48.2%</w:t>
            </w:r>
          </w:p>
        </w:tc>
        <w:tc>
          <w:tcPr>
            <w:tcW w:type="dxa" w:w="8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31.4%</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6"/>
                <w:szCs w:val="16"/>
              </w:rPr>
              <w:t xml:space="preserve">Art.9</w:t>
            </w:r>
          </w:p>
        </w:tc>
      </w:tr>
      <w:tr>
        <w:tc>
          <w:tcPr>
            <w:tcW w:type="dxa" w:w="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061F4A"/>
                <w:sz w:val="18"/>
                <w:szCs w:val="18"/>
              </w:rPr>
              <w:t xml:space="preserve">11</w:t>
            </w:r>
          </w:p>
        </w:tc>
        <w:tc>
          <w:tcPr>
            <w:tcW w:type="dxa" w:w="1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1A202C"/>
                <w:sz w:val="18"/>
                <w:szCs w:val="18"/>
              </w:rPr>
              <w:t xml:space="preserve">Indus</w:t>
            </w:r>
          </w:p>
        </w:tc>
        <w:tc>
          <w:tcPr>
            <w:tcW w:type="dxa" w:w="1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Tarbela</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13.7</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w:t>
            </w:r>
          </w:p>
        </w:tc>
        <w:tc>
          <w:tcPr>
            <w:tcW w:type="dxa" w:w="8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7B6000"/>
                <w:sz w:val="18"/>
                <w:szCs w:val="18"/>
              </w:rPr>
              <w:t xml:space="preserve">30.5%</w:t>
            </w:r>
          </w:p>
        </w:tc>
        <w:tc>
          <w:tcPr>
            <w:tcW w:type="dxa" w:w="8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26.7%</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6"/>
                <w:szCs w:val="16"/>
              </w:rPr>
              <w:t xml:space="preserve">Art.7</w:t>
            </w:r>
          </w:p>
        </w:tc>
      </w:tr>
      <w:tr>
        <w:tc>
          <w:tcPr>
            <w:tcW w:type="dxa" w:w="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061F4A"/>
                <w:sz w:val="18"/>
                <w:szCs w:val="18"/>
              </w:rPr>
              <w:t xml:space="preserve">12</w:t>
            </w:r>
          </w:p>
        </w:tc>
        <w:tc>
          <w:tcPr>
            <w:tcW w:type="dxa" w:w="1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1A202C"/>
                <w:sz w:val="18"/>
                <w:szCs w:val="18"/>
              </w:rPr>
              <w:t xml:space="preserve">Brahmaputra</w:t>
            </w:r>
          </w:p>
        </w:tc>
        <w:tc>
          <w:tcPr>
            <w:tcW w:type="dxa" w:w="1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Subansiri</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2.4</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w:t>
            </w:r>
          </w:p>
        </w:tc>
        <w:tc>
          <w:tcPr>
            <w:tcW w:type="dxa" w:w="8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7B6000"/>
                <w:sz w:val="18"/>
                <w:szCs w:val="18"/>
              </w:rPr>
              <w:t xml:space="preserve">29.1%</w:t>
            </w:r>
          </w:p>
        </w:tc>
        <w:tc>
          <w:tcPr>
            <w:tcW w:type="dxa" w:w="8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18.6%</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6"/>
                <w:szCs w:val="16"/>
              </w:rPr>
              <w:t xml:space="preserve">Art.7</w:t>
            </w:r>
          </w:p>
        </w:tc>
      </w:tr>
      <w:tr>
        <w:tc>
          <w:tcPr>
            <w:tcW w:type="dxa" w:w="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061F4A"/>
                <w:sz w:val="18"/>
                <w:szCs w:val="18"/>
              </w:rPr>
              <w:t xml:space="preserve">13</w:t>
            </w:r>
          </w:p>
        </w:tc>
        <w:tc>
          <w:tcPr>
            <w:tcW w:type="dxa" w:w="1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1A202C"/>
                <w:sz w:val="18"/>
                <w:szCs w:val="18"/>
              </w:rPr>
              <w:t xml:space="preserve">Ganges</w:t>
            </w:r>
          </w:p>
        </w:tc>
        <w:tc>
          <w:tcPr>
            <w:tcW w:type="dxa" w:w="1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Farakka</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0.3</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w:t>
            </w:r>
          </w:p>
        </w:tc>
        <w:tc>
          <w:tcPr>
            <w:tcW w:type="dxa" w:w="8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7B6000"/>
                <w:sz w:val="18"/>
                <w:szCs w:val="18"/>
              </w:rPr>
              <w:t xml:space="preserve">27.3%</w:t>
            </w:r>
          </w:p>
        </w:tc>
        <w:tc>
          <w:tcPr>
            <w:tcW w:type="dxa" w:w="8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22.5%</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6"/>
                <w:szCs w:val="16"/>
              </w:rPr>
              <w:t xml:space="preserve">Art.7</w:t>
            </w:r>
          </w:p>
        </w:tc>
      </w:tr>
      <w:tr>
        <w:tc>
          <w:tcPr>
            <w:tcW w:type="dxa" w:w="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061F4A"/>
                <w:sz w:val="18"/>
                <w:szCs w:val="18"/>
              </w:rPr>
              <w:t xml:space="preserve">14</w:t>
            </w:r>
          </w:p>
        </w:tc>
        <w:tc>
          <w:tcPr>
            <w:tcW w:type="dxa" w:w="1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1A202C"/>
                <w:sz w:val="18"/>
                <w:szCs w:val="18"/>
              </w:rPr>
              <w:t xml:space="preserve">Mekong</w:t>
            </w:r>
          </w:p>
        </w:tc>
        <w:tc>
          <w:tcPr>
            <w:tcW w:type="dxa" w:w="1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Xayaburi</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7.4</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w:t>
            </w:r>
          </w:p>
        </w:tc>
        <w:tc>
          <w:tcPr>
            <w:tcW w:type="dxa" w:w="8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9B2335"/>
                <w:sz w:val="18"/>
                <w:szCs w:val="18"/>
              </w:rPr>
              <w:t xml:space="preserve">56.5%</w:t>
            </w:r>
          </w:p>
        </w:tc>
        <w:tc>
          <w:tcPr>
            <w:tcW w:type="dxa" w:w="8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32.7%</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6"/>
                <w:szCs w:val="16"/>
              </w:rPr>
              <w:t xml:space="preserve">Art.33</w:t>
            </w:r>
          </w:p>
        </w:tc>
      </w:tr>
      <w:tr>
        <w:tc>
          <w:tcPr>
            <w:tcW w:type="dxa" w:w="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061F4A"/>
                <w:sz w:val="18"/>
                <w:szCs w:val="18"/>
              </w:rPr>
              <w:t xml:space="preserve">15</w:t>
            </w:r>
          </w:p>
        </w:tc>
        <w:tc>
          <w:tcPr>
            <w:tcW w:type="dxa" w:w="1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1A202C"/>
                <w:sz w:val="18"/>
                <w:szCs w:val="18"/>
              </w:rPr>
              <w:t xml:space="preserve">Salween</w:t>
            </w:r>
          </w:p>
        </w:tc>
        <w:tc>
          <w:tcPr>
            <w:tcW w:type="dxa" w:w="1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Myitsone</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62</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w:t>
            </w:r>
          </w:p>
        </w:tc>
        <w:tc>
          <w:tcPr>
            <w:tcW w:type="dxa" w:w="8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C05621"/>
                <w:sz w:val="18"/>
                <w:szCs w:val="18"/>
              </w:rPr>
              <w:t xml:space="preserve">41.2%</w:t>
            </w:r>
          </w:p>
        </w:tc>
        <w:tc>
          <w:tcPr>
            <w:tcW w:type="dxa" w:w="8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30.8%</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6"/>
                <w:szCs w:val="16"/>
              </w:rPr>
              <w:t xml:space="preserve">Art.9</w:t>
            </w:r>
          </w:p>
        </w:tc>
      </w:tr>
      <w:tr>
        <w:tc>
          <w:tcPr>
            <w:tcW w:type="dxa" w:w="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061F4A"/>
                <w:sz w:val="18"/>
                <w:szCs w:val="18"/>
              </w:rPr>
              <w:t xml:space="preserve">16</w:t>
            </w:r>
          </w:p>
        </w:tc>
        <w:tc>
          <w:tcPr>
            <w:tcW w:type="dxa" w:w="1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1A202C"/>
                <w:sz w:val="18"/>
                <w:szCs w:val="18"/>
              </w:rPr>
              <w:t xml:space="preserve">Yangtze</w:t>
            </w:r>
          </w:p>
        </w:tc>
        <w:tc>
          <w:tcPr>
            <w:tcW w:type="dxa" w:w="1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Three Gorges</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39.3</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w:t>
            </w:r>
          </w:p>
        </w:tc>
        <w:tc>
          <w:tcPr>
            <w:tcW w:type="dxa" w:w="8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276749"/>
                <w:sz w:val="18"/>
                <w:szCs w:val="18"/>
              </w:rPr>
              <w:t xml:space="preserve">18.4%</w:t>
            </w:r>
          </w:p>
        </w:tc>
        <w:tc>
          <w:tcPr>
            <w:tcW w:type="dxa" w:w="8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22.8%</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6"/>
                <w:szCs w:val="16"/>
              </w:rPr>
              <w:t xml:space="preserve">OK</w:t>
            </w:r>
          </w:p>
        </w:tc>
      </w:tr>
      <w:tr>
        <w:tc>
          <w:tcPr>
            <w:tcW w:type="dxa" w:w="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061F4A"/>
                <w:sz w:val="18"/>
                <w:szCs w:val="18"/>
              </w:rPr>
              <w:t xml:space="preserve">17</w:t>
            </w:r>
          </w:p>
        </w:tc>
        <w:tc>
          <w:tcPr>
            <w:tcW w:type="dxa" w:w="1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1A202C"/>
                <w:sz w:val="18"/>
                <w:szCs w:val="18"/>
              </w:rPr>
              <w:t xml:space="preserve">Danube</w:t>
            </w:r>
          </w:p>
        </w:tc>
        <w:tc>
          <w:tcPr>
            <w:tcW w:type="dxa" w:w="1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Iron Gates</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2.4</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10</w:t>
            </w:r>
          </w:p>
        </w:tc>
        <w:tc>
          <w:tcPr>
            <w:tcW w:type="dxa" w:w="8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C05621"/>
                <w:sz w:val="18"/>
                <w:szCs w:val="18"/>
              </w:rPr>
              <w:t xml:space="preserve">40%</w:t>
            </w:r>
          </w:p>
        </w:tc>
        <w:tc>
          <w:tcPr>
            <w:tcW w:type="dxa" w:w="8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25.4%</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6"/>
                <w:szCs w:val="16"/>
              </w:rPr>
              <w:t xml:space="preserve">Art.9</w:t>
            </w:r>
          </w:p>
        </w:tc>
      </w:tr>
      <w:tr>
        <w:tc>
          <w:tcPr>
            <w:tcW w:type="dxa" w:w="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061F4A"/>
                <w:sz w:val="18"/>
                <w:szCs w:val="18"/>
              </w:rPr>
              <w:t xml:space="preserve">18</w:t>
            </w:r>
          </w:p>
        </w:tc>
        <w:tc>
          <w:tcPr>
            <w:tcW w:type="dxa" w:w="1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1A202C"/>
                <w:sz w:val="18"/>
                <w:szCs w:val="18"/>
              </w:rPr>
              <w:t xml:space="preserve">Rhine</w:t>
            </w:r>
          </w:p>
        </w:tc>
        <w:tc>
          <w:tcPr>
            <w:tcW w:type="dxa" w:w="1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Various</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0.5</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9</w:t>
            </w:r>
          </w:p>
        </w:tc>
        <w:tc>
          <w:tcPr>
            <w:tcW w:type="dxa" w:w="8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7B6000"/>
                <w:sz w:val="18"/>
                <w:szCs w:val="18"/>
              </w:rPr>
              <w:t xml:space="preserve">27.1%</w:t>
            </w:r>
          </w:p>
        </w:tc>
        <w:tc>
          <w:tcPr>
            <w:tcW w:type="dxa" w:w="8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18.6%</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6"/>
                <w:szCs w:val="16"/>
              </w:rPr>
              <w:t xml:space="preserve">Art.7</w:t>
            </w:r>
          </w:p>
        </w:tc>
      </w:tr>
      <w:tr>
        <w:tc>
          <w:tcPr>
            <w:tcW w:type="dxa" w:w="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061F4A"/>
                <w:sz w:val="18"/>
                <w:szCs w:val="18"/>
              </w:rPr>
              <w:t xml:space="preserve">19</w:t>
            </w:r>
          </w:p>
        </w:tc>
        <w:tc>
          <w:tcPr>
            <w:tcW w:type="dxa" w:w="1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1A202C"/>
                <w:sz w:val="18"/>
                <w:szCs w:val="18"/>
              </w:rPr>
              <w:t xml:space="preserve">Dnieper</w:t>
            </w:r>
          </w:p>
        </w:tc>
        <w:tc>
          <w:tcPr>
            <w:tcW w:type="dxa" w:w="1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Kakhovka</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18.2</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w:t>
            </w:r>
          </w:p>
        </w:tc>
        <w:tc>
          <w:tcPr>
            <w:tcW w:type="dxa" w:w="8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C05621"/>
                <w:sz w:val="18"/>
                <w:szCs w:val="18"/>
              </w:rPr>
              <w:t xml:space="preserve">44.8%</w:t>
            </w:r>
          </w:p>
        </w:tc>
        <w:tc>
          <w:tcPr>
            <w:tcW w:type="dxa" w:w="8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31.2%</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6"/>
                <w:szCs w:val="16"/>
              </w:rPr>
              <w:t xml:space="preserve">Art.9</w:t>
            </w:r>
          </w:p>
        </w:tc>
      </w:tr>
      <w:tr>
        <w:tc>
          <w:tcPr>
            <w:tcW w:type="dxa" w:w="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061F4A"/>
                <w:sz w:val="18"/>
                <w:szCs w:val="18"/>
              </w:rPr>
              <w:t xml:space="preserve">20</w:t>
            </w:r>
          </w:p>
        </w:tc>
        <w:tc>
          <w:tcPr>
            <w:tcW w:type="dxa" w:w="1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1A202C"/>
                <w:sz w:val="18"/>
                <w:szCs w:val="18"/>
              </w:rPr>
              <w:t xml:space="preserve">Amazon</w:t>
            </w:r>
          </w:p>
        </w:tc>
        <w:tc>
          <w:tcPr>
            <w:tcW w:type="dxa" w:w="1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Belo Monte</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250</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8</w:t>
            </w:r>
          </w:p>
        </w:tc>
        <w:tc>
          <w:tcPr>
            <w:tcW w:type="dxa" w:w="8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C05621"/>
                <w:sz w:val="18"/>
                <w:szCs w:val="18"/>
              </w:rPr>
              <w:t xml:space="preserve">47%</w:t>
            </w:r>
          </w:p>
        </w:tc>
        <w:tc>
          <w:tcPr>
            <w:tcW w:type="dxa" w:w="8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31.9%</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6"/>
                <w:szCs w:val="16"/>
              </w:rPr>
              <w:t xml:space="preserve">Art.9</w:t>
            </w:r>
          </w:p>
        </w:tc>
      </w:tr>
      <w:tr>
        <w:tc>
          <w:tcPr>
            <w:tcW w:type="dxa" w:w="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061F4A"/>
                <w:sz w:val="18"/>
                <w:szCs w:val="18"/>
              </w:rPr>
              <w:t xml:space="preserve">21</w:t>
            </w:r>
          </w:p>
        </w:tc>
        <w:tc>
          <w:tcPr>
            <w:tcW w:type="dxa" w:w="1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1A202C"/>
                <w:sz w:val="18"/>
                <w:szCs w:val="18"/>
              </w:rPr>
              <w:t xml:space="preserve">Parana</w:t>
            </w:r>
          </w:p>
        </w:tc>
        <w:tc>
          <w:tcPr>
            <w:tcW w:type="dxa" w:w="1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Itaipu</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29</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w:t>
            </w:r>
          </w:p>
        </w:tc>
        <w:tc>
          <w:tcPr>
            <w:tcW w:type="dxa" w:w="8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276749"/>
                <w:sz w:val="18"/>
                <w:szCs w:val="18"/>
              </w:rPr>
              <w:t xml:space="preserve">17.5%</w:t>
            </w:r>
          </w:p>
        </w:tc>
        <w:tc>
          <w:tcPr>
            <w:tcW w:type="dxa" w:w="8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21.4%</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6"/>
                <w:szCs w:val="16"/>
              </w:rPr>
              <w:t xml:space="preserve">OK</w:t>
            </w:r>
          </w:p>
        </w:tc>
      </w:tr>
      <w:tr>
        <w:tc>
          <w:tcPr>
            <w:tcW w:type="dxa" w:w="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061F4A"/>
                <w:sz w:val="18"/>
                <w:szCs w:val="18"/>
              </w:rPr>
              <w:t xml:space="preserve">22</w:t>
            </w:r>
          </w:p>
        </w:tc>
        <w:tc>
          <w:tcPr>
            <w:tcW w:type="dxa" w:w="1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1A202C"/>
                <w:sz w:val="18"/>
                <w:szCs w:val="18"/>
              </w:rPr>
              <w:t xml:space="preserve">Orinoco</w:t>
            </w:r>
          </w:p>
        </w:tc>
        <w:tc>
          <w:tcPr>
            <w:tcW w:type="dxa" w:w="1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Guri</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135</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w:t>
            </w:r>
          </w:p>
        </w:tc>
        <w:tc>
          <w:tcPr>
            <w:tcW w:type="dxa" w:w="8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7B6000"/>
                <w:sz w:val="18"/>
                <w:szCs w:val="18"/>
              </w:rPr>
              <w:t xml:space="preserve">22.6%</w:t>
            </w:r>
          </w:p>
        </w:tc>
        <w:tc>
          <w:tcPr>
            <w:tcW w:type="dxa" w:w="8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24.3%</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6"/>
                <w:szCs w:val="16"/>
              </w:rPr>
              <w:t xml:space="preserve">Art.7</w:t>
            </w:r>
          </w:p>
        </w:tc>
      </w:tr>
      <w:tr>
        <w:tc>
          <w:tcPr>
            <w:tcW w:type="dxa" w:w="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061F4A"/>
                <w:sz w:val="18"/>
                <w:szCs w:val="18"/>
              </w:rPr>
              <w:t xml:space="preserve">23</w:t>
            </w:r>
          </w:p>
        </w:tc>
        <w:tc>
          <w:tcPr>
            <w:tcW w:type="dxa" w:w="1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1A202C"/>
                <w:sz w:val="18"/>
                <w:szCs w:val="18"/>
              </w:rPr>
              <w:t xml:space="preserve">Colorado</w:t>
            </w:r>
          </w:p>
        </w:tc>
        <w:tc>
          <w:tcPr>
            <w:tcW w:type="dxa" w:w="1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Hoover</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36.7</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w:t>
            </w:r>
          </w:p>
        </w:tc>
        <w:tc>
          <w:tcPr>
            <w:tcW w:type="dxa" w:w="8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7B6000"/>
                <w:sz w:val="18"/>
                <w:szCs w:val="18"/>
              </w:rPr>
              <w:t xml:space="preserve">33.4%</w:t>
            </w:r>
          </w:p>
        </w:tc>
        <w:tc>
          <w:tcPr>
            <w:tcW w:type="dxa" w:w="8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32.5%</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6"/>
                <w:szCs w:val="16"/>
              </w:rPr>
              <w:t xml:space="preserve">Art.7</w:t>
            </w:r>
          </w:p>
        </w:tc>
      </w:tr>
      <w:tr>
        <w:tc>
          <w:tcPr>
            <w:tcW w:type="dxa" w:w="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061F4A"/>
                <w:sz w:val="18"/>
                <w:szCs w:val="18"/>
              </w:rPr>
              <w:t xml:space="preserve">24</w:t>
            </w:r>
          </w:p>
        </w:tc>
        <w:tc>
          <w:tcPr>
            <w:tcW w:type="dxa" w:w="1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1A202C"/>
                <w:sz w:val="18"/>
                <w:szCs w:val="18"/>
              </w:rPr>
              <w:t xml:space="preserve">Columbia</w:t>
            </w:r>
          </w:p>
        </w:tc>
        <w:tc>
          <w:tcPr>
            <w:tcW w:type="dxa" w:w="1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Grand Coulee</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9.7</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w:t>
            </w:r>
          </w:p>
        </w:tc>
        <w:tc>
          <w:tcPr>
            <w:tcW w:type="dxa" w:w="8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276749"/>
                <w:sz w:val="18"/>
                <w:szCs w:val="18"/>
              </w:rPr>
              <w:t xml:space="preserve">19.8%</w:t>
            </w:r>
          </w:p>
        </w:tc>
        <w:tc>
          <w:tcPr>
            <w:tcW w:type="dxa" w:w="8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23.1%</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6"/>
                <w:szCs w:val="16"/>
              </w:rPr>
              <w:t xml:space="preserve">OK</w:t>
            </w:r>
          </w:p>
        </w:tc>
      </w:tr>
      <w:tr>
        <w:tc>
          <w:tcPr>
            <w:tcW w:type="dxa" w:w="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061F4A"/>
                <w:sz w:val="18"/>
                <w:szCs w:val="18"/>
              </w:rPr>
              <w:t xml:space="preserve">25</w:t>
            </w:r>
          </w:p>
        </w:tc>
        <w:tc>
          <w:tcPr>
            <w:tcW w:type="dxa" w:w="1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1A202C"/>
                <w:sz w:val="18"/>
                <w:szCs w:val="18"/>
              </w:rPr>
              <w:t xml:space="preserve">Rio Grande</w:t>
            </w:r>
          </w:p>
        </w:tc>
        <w:tc>
          <w:tcPr>
            <w:tcW w:type="dxa" w:w="1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Amistad</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5.8</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w:t>
            </w:r>
          </w:p>
        </w:tc>
        <w:tc>
          <w:tcPr>
            <w:tcW w:type="dxa" w:w="8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bCs/>
                <w:i w:val="false"/>
                <w:iCs w:val="false"/>
                <w:color w:val="7B6000"/>
                <w:sz w:val="18"/>
                <w:szCs w:val="18"/>
              </w:rPr>
              <w:t xml:space="preserve">26.4%</w:t>
            </w:r>
          </w:p>
        </w:tc>
        <w:tc>
          <w:tcPr>
            <w:tcW w:type="dxa" w:w="8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27.8%</w:t>
            </w:r>
          </w:p>
        </w:tc>
        <w:tc>
          <w:tcPr>
            <w:tcW w:type="dxa" w:w="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6"/>
                <w:szCs w:val="16"/>
              </w:rPr>
              <w:t xml:space="preserve">Art.7</w:t>
            </w:r>
          </w:p>
        </w:tc>
      </w:tr>
      <w:tr>
        <w:tc>
          <w:tcPr>
            <w:tcW w:type="dxa" w:w="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061F4A"/>
                <w:sz w:val="18"/>
                <w:szCs w:val="18"/>
              </w:rPr>
              <w:t xml:space="preserve">26</w:t>
            </w:r>
          </w:p>
        </w:tc>
        <w:tc>
          <w:tcPr>
            <w:tcW w:type="dxa" w:w="1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1A202C"/>
                <w:sz w:val="18"/>
                <w:szCs w:val="18"/>
              </w:rPr>
              <w:t xml:space="preserve">Murray-Darling</w:t>
            </w:r>
          </w:p>
        </w:tc>
        <w:tc>
          <w:tcPr>
            <w:tcW w:type="dxa" w:w="1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Hume</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w:t>
            </w:r>
          </w:p>
        </w:tc>
        <w:tc>
          <w:tcPr>
            <w:tcW w:type="dxa" w:w="8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bCs/>
                <w:i w:val="false"/>
                <w:iCs w:val="false"/>
                <w:color w:val="7B6000"/>
                <w:sz w:val="18"/>
                <w:szCs w:val="18"/>
              </w:rPr>
              <w:t xml:space="preserve">21.3%</w:t>
            </w:r>
          </w:p>
        </w:tc>
        <w:tc>
          <w:tcPr>
            <w:tcW w:type="dxa" w:w="8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19.7%</w:t>
            </w:r>
          </w:p>
        </w:tc>
        <w:tc>
          <w:tcPr>
            <w:tcW w:type="dxa" w:w="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6"/>
                <w:szCs w:val="16"/>
              </w:rPr>
              <w:t xml:space="preserve">OK</w:t>
            </w:r>
          </w:p>
        </w:tc>
      </w:tr>
    </w:tbl>
    <w:p>
      <w:pPr>
        <w:spacing w:after="80"/>
      </w:pPr>
      <w:r>
        <w:t xml:space="preserve"/>
      </w:r>
    </w:p>
    <w:p>
      <w:pPr>
        <w:pStyle w:val="Heading1"/>
        <w:pageBreakBefore/>
        <w:pBdr>
          <w:bottom w:val="single" w:color="0E6B6A" w:sz="6"/>
        </w:pBdr>
        <w:shd w:fill="061F4A" w:val="clear"/>
        <w:spacing w:after="200" w:before="0"/>
        <w:ind w:left="260"/>
      </w:pPr>
      <w:r>
        <w:rPr>
          <w:rFonts w:ascii="Arial" w:cs="Arial" w:eastAsia="Arial" w:hAnsi="Arial"/>
          <w:b/>
          <w:bCs/>
          <w:i w:val="false"/>
          <w:iCs w:val="false"/>
          <w:color w:val="FFFFFF"/>
          <w:sz w:val="28"/>
          <w:szCs w:val="28"/>
        </w:rPr>
        <w:t xml:space="preserve">Chapter 7 -- Scientific Indices Reference</w:t>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7.1  The 6 Original Alkedir Indices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
        <w:gridCol w:w="2500"/>
        <w:gridCol w:w="1600"/>
        <w:gridCol w:w="4000"/>
      </w:tblGrid>
      <w:tr>
        <w:trPr>
          <w:tblHeader/>
        </w:trPr>
        <w:tc>
          <w:tcPr>
            <w:tcW w:type="dxa" w:w="9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Index</w:t>
            </w:r>
          </w:p>
        </w:tc>
        <w:tc>
          <w:tcPr>
            <w:tcW w:type="dxa" w:w="2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Full Name</w:t>
            </w:r>
          </w:p>
        </w:tc>
        <w:tc>
          <w:tcPr>
            <w:tcW w:type="dxa" w:w="16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Source File</w:t>
            </w:r>
          </w:p>
        </w:tc>
        <w:tc>
          <w:tcPr>
            <w:tcW w:type="dxa" w:w="4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Innovation</w:t>
            </w:r>
          </w:p>
        </w:tc>
      </w:tr>
      <w:tr>
        <w:trPr>
          <w:tblHeader w:val="false"/>
        </w:trPr>
        <w:tc>
          <w:tcPr>
            <w:tcW w:type="dxa" w:w="9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ATDI</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Alkedir Transparency Deficit Index</w:t>
            </w:r>
          </w:p>
        </w:tc>
        <w:tc>
          <w:tcPr>
            <w:tcW w:type="dxa" w:w="1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hsae_tdi.py</w:t>
            </w:r>
          </w:p>
        </w:tc>
        <w:tc>
          <w:tcPr>
            <w:tcW w:type="dxa" w:w="4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Daily compliance indicator</w:t>
            </w:r>
          </w:p>
        </w:tc>
      </w:tr>
      <w:tr>
        <w:trPr>
          <w:tblHeader w:val="false"/>
        </w:trPr>
        <w:tc>
          <w:tcPr>
            <w:tcW w:type="dxa" w:w="9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HIFD/AHIFD</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Human-Induced Flow Deficit</w:t>
            </w:r>
          </w:p>
        </w:tc>
        <w:tc>
          <w:tcPr>
            <w:tcW w:type="dxa" w:w="1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hbv_model.py</w:t>
            </w:r>
          </w:p>
        </w:tc>
        <w:tc>
          <w:tcPr>
            <w:tcW w:type="dxa" w:w="4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Volumetric annual deficit</w:t>
            </w:r>
          </w:p>
        </w:tc>
      </w:tr>
      <w:tr>
        <w:trPr>
          <w:tblHeader w:val="false"/>
        </w:trPr>
        <w:tc>
          <w:tcPr>
            <w:tcW w:type="dxa" w:w="9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AFSF</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Alkedir Forensic Signal Factor</w:t>
            </w:r>
          </w:p>
        </w:tc>
        <w:tc>
          <w:tcPr>
            <w:tcW w:type="dxa" w:w="1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hsae_tdi.py</w:t>
            </w:r>
          </w:p>
        </w:tc>
        <w:tc>
          <w:tcPr>
            <w:tcW w:type="dxa" w:w="4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Anthropogenic signal separation</w:t>
            </w:r>
          </w:p>
        </w:tc>
      </w:tr>
      <w:tr>
        <w:trPr>
          <w:tblHeader w:val="false"/>
        </w:trPr>
        <w:tc>
          <w:tcPr>
            <w:tcW w:type="dxa" w:w="9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AHLB</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Alkedir HBV-Legal Bridge</w:t>
            </w:r>
          </w:p>
        </w:tc>
        <w:tc>
          <w:tcPr>
            <w:tcW w:type="dxa" w:w="1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hbv_model.py</w:t>
            </w:r>
          </w:p>
        </w:tc>
        <w:tc>
          <w:tcPr>
            <w:tcW w:type="dxa" w:w="4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HBV physics to UNWC flags</w:t>
            </w:r>
          </w:p>
        </w:tc>
      </w:tr>
      <w:tr>
        <w:trPr>
          <w:tblHeader w:val="false"/>
        </w:trPr>
        <w:tc>
          <w:tcPr>
            <w:tcW w:type="dxa" w:w="9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ASI</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Alkedir Sovereignty Index</w:t>
            </w:r>
          </w:p>
        </w:tc>
        <w:tc>
          <w:tcPr>
            <w:tcW w:type="dxa" w:w="1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hsae_science.py</w:t>
            </w:r>
          </w:p>
        </w:tc>
        <w:tc>
          <w:tcPr>
            <w:tcW w:type="dxa" w:w="4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Composite governance metric</w:t>
            </w:r>
          </w:p>
        </w:tc>
      </w:tr>
      <w:tr>
        <w:trPr>
          <w:tblHeader w:val="false"/>
        </w:trPr>
        <w:tc>
          <w:tcPr>
            <w:tcW w:type="dxa" w:w="9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ATCI</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Alkedir Treaty Compliance Index</w:t>
            </w:r>
          </w:p>
        </w:tc>
        <w:tc>
          <w:tcPr>
            <w:tcW w:type="dxa" w:w="1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treaty_diff.py</w:t>
            </w:r>
          </w:p>
        </w:tc>
        <w:tc>
          <w:tcPr>
            <w:tcW w:type="dxa" w:w="4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Treaty screening automated</w:t>
            </w:r>
          </w:p>
        </w:tc>
      </w:tr>
    </w:tbl>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7.2  Equations Index -- All 8 Scientific Formulas [NEW]</w:t>
      </w:r>
    </w:p>
    <w:p>
      <w:pPr>
        <w:pStyle w:val="Heading3"/>
        <w:spacing w:after="60" w:before="130"/>
      </w:pPr>
      <w:r>
        <w:rPr>
          <w:rFonts w:ascii="Arial" w:cs="Arial" w:eastAsia="Arial" w:hAnsi="Arial"/>
          <w:b/>
          <w:bCs/>
          <w:i w:val="false"/>
          <w:iCs w:val="false"/>
          <w:color w:val="0E6B6A"/>
          <w:sz w:val="20"/>
          <w:szCs w:val="20"/>
        </w:rPr>
        <w:t xml:space="preserve">Formula 1 -- ATDI</w:t>
      </w:r>
    </w:p>
    <w:p>
      <w:pPr>
        <w:pBdr>
          <w:top w:val="nil"/>
          <w:left w:val="thick" w:color="0B3D8E" w:sz="16"/>
          <w:bottom w:val="nil"/>
          <w:right w:val="nil"/>
        </w:pBdr>
        <w:shd w:fill="EDF2F7" w:val="clear"/>
        <w:spacing w:after="0" w:before="60"/>
        <w:ind w:left="280"/>
      </w:pPr>
      <w:r>
        <w:rPr>
          <w:rFonts w:ascii="Courier New" w:cs="Courier New" w:eastAsia="Courier New" w:hAnsi="Courier New"/>
          <w:color w:val="1A365D"/>
          <w:sz w:val="18"/>
          <w:szCs w:val="18"/>
        </w:rPr>
        <w:t xml:space="preserve">Step 1: I_adj,i = I_nat,i - ET_up,i</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Step 2: TDI_i  = clip[(I_adj,i - Q_obs,i)/(I_adj,i + eps), 0, 1]</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Step 3: ATDI   = (1/N) x sum(TDI_i) x 100%</w:t>
      </w:r>
    </w:p>
    <w:p>
      <w:pPr>
        <w:pBdr>
          <w:top w:val="nil"/>
          <w:left w:val="thick" w:color="0B3D8E" w:sz="16"/>
          <w:bottom w:val="nil"/>
          <w:right w:val="nil"/>
        </w:pBdr>
        <w:shd w:fill="EDF2F7" w:val="clear"/>
        <w:spacing w:after="60" w:before="0"/>
        <w:ind w:left="280"/>
      </w:pPr>
      <w:r>
        <w:rPr>
          <w:rFonts w:ascii="Courier New" w:cs="Courier New" w:eastAsia="Courier New" w:hAnsi="Courier New"/>
          <w:color w:val="1A365D"/>
          <w:sz w:val="18"/>
          <w:szCs w:val="18"/>
        </w:rPr>
        <w:t xml:space="preserve">Calibrated RMSE: 4.1% vs 14 published basin values</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Formula 2 -- HIFD</w:t>
      </w:r>
    </w:p>
    <w:p>
      <w:pPr>
        <w:pBdr>
          <w:top w:val="nil"/>
          <w:left w:val="thick" w:color="0B3D8E" w:sz="16"/>
          <w:bottom w:val="nil"/>
          <w:right w:val="nil"/>
        </w:pBdr>
        <w:shd w:fill="EDF2F7" w:val="clear"/>
        <w:spacing w:after="0" w:before="60"/>
        <w:ind w:left="280"/>
      </w:pPr>
      <w:r>
        <w:rPr>
          <w:rFonts w:ascii="Courier New" w:cs="Courier New" w:eastAsia="Courier New" w:hAnsi="Courier New"/>
          <w:color w:val="1A365D"/>
          <w:sz w:val="18"/>
          <w:szCs w:val="18"/>
        </w:rPr>
        <w:t xml:space="preserve">HIFD = [(Q_nat - Q_obs) / Q_nat] x 100%</w:t>
      </w:r>
    </w:p>
    <w:p>
      <w:pPr>
        <w:pBdr>
          <w:top w:val="nil"/>
          <w:left w:val="thick" w:color="0B3D8E" w:sz="16"/>
          <w:bottom w:val="nil"/>
          <w:right w:val="nil"/>
        </w:pBdr>
        <w:shd w:fill="EDF2F7" w:val="clear"/>
        <w:spacing w:after="60" w:before="0"/>
        <w:ind w:left="280"/>
      </w:pPr>
      <w:r>
        <w:rPr>
          <w:rFonts w:ascii="Courier New" w:cs="Courier New" w:eastAsia="Courier New" w:hAnsi="Courier New"/>
          <w:color w:val="1A365D"/>
          <w:sz w:val="18"/>
          <w:szCs w:val="18"/>
        </w:rPr>
        <w:t xml:space="preserve">AHIFD &gt;25% --&gt; Art.5  |  &gt;40% --&gt; Art.7  |  &gt;60% --&gt; Art.12</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Formula 3 -- Conflict Index CI</w:t>
      </w:r>
    </w:p>
    <w:p>
      <w:pPr>
        <w:pBdr>
          <w:top w:val="nil"/>
          <w:left w:val="thick" w:color="0B3D8E" w:sz="16"/>
          <w:bottom w:val="nil"/>
          <w:right w:val="nil"/>
        </w:pBdr>
        <w:shd w:fill="EDF2F7" w:val="clear"/>
        <w:spacing w:after="0" w:before="60"/>
        <w:ind w:left="280"/>
      </w:pPr>
      <w:r>
        <w:rPr>
          <w:rFonts w:ascii="Courier New" w:cs="Courier New" w:eastAsia="Courier New" w:hAnsi="Courier New"/>
          <w:color w:val="1A365D"/>
          <w:sz w:val="18"/>
          <w:szCs w:val="18"/>
        </w:rPr>
        <w:t xml:space="preserve">CI = 0.40*(ATDI/100) + 0.25*(dispute/4) + 0.20*(HIFD/100) + 0.15*(n_countries/6)</w:t>
      </w:r>
    </w:p>
    <w:p>
      <w:pPr>
        <w:pBdr>
          <w:top w:val="nil"/>
          <w:left w:val="thick" w:color="0B3D8E" w:sz="16"/>
          <w:bottom w:val="nil"/>
          <w:right w:val="nil"/>
        </w:pBdr>
        <w:shd w:fill="EDF2F7" w:val="clear"/>
        <w:spacing w:after="60" w:before="0"/>
        <w:ind w:left="280"/>
      </w:pPr>
      <w:r>
        <w:rPr>
          <w:rFonts w:ascii="Courier New" w:cs="Courier New" w:eastAsia="Courier New" w:hAnsi="Courier New"/>
          <w:color w:val="1A365D"/>
          <w:sz w:val="18"/>
          <w:szCs w:val="18"/>
        </w:rPr>
        <w:t xml:space="preserve">Blue Nile: 0.40*0.435 + 0.25*1.0 + 0.20*0.20 + 0.15*0.50 = 0.44</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Formula 4 -- ATCI</w:t>
      </w:r>
    </w:p>
    <w:p>
      <w:pPr>
        <w:pBdr>
          <w:top w:val="nil"/>
          <w:left w:val="thick" w:color="0B3D8E" w:sz="16"/>
          <w:bottom w:val="nil"/>
          <w:right w:val="nil"/>
        </w:pBdr>
        <w:shd w:fill="EDF2F7" w:val="clear"/>
        <w:spacing w:after="0" w:before="60"/>
        <w:ind w:left="280"/>
      </w:pPr>
      <w:r>
        <w:rPr>
          <w:rFonts w:ascii="Courier New" w:cs="Courier New" w:eastAsia="Courier New" w:hAnsi="Courier New"/>
          <w:color w:val="1A365D"/>
          <w:sz w:val="18"/>
          <w:szCs w:val="18"/>
        </w:rPr>
        <w:t xml:space="preserve">ATCI = (triggered_articles / total_articles) x 100%</w:t>
      </w:r>
    </w:p>
    <w:p>
      <w:pPr>
        <w:pBdr>
          <w:top w:val="nil"/>
          <w:left w:val="thick" w:color="0B3D8E" w:sz="16"/>
          <w:bottom w:val="nil"/>
          <w:right w:val="nil"/>
        </w:pBdr>
        <w:shd w:fill="EDF2F7" w:val="clear"/>
        <w:spacing w:after="60" w:before="0"/>
        <w:ind w:left="280"/>
      </w:pPr>
      <w:r>
        <w:rPr>
          <w:rFonts w:ascii="Courier New" w:cs="Courier New" w:eastAsia="Courier New" w:hAnsi="Courier New"/>
          <w:color w:val="1A365D"/>
          <w:sz w:val="18"/>
          <w:szCs w:val="18"/>
        </w:rPr>
        <w:t xml:space="preserve">Blue Nile: 7/10 = 70%  |  Mekong: 9/10 = 90%</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Formula 5 -- NSE (Nash-Sutcliffe Efficiency)</w:t>
      </w:r>
    </w:p>
    <w:p>
      <w:pPr>
        <w:pBdr>
          <w:top w:val="nil"/>
          <w:left w:val="thick" w:color="0B3D8E" w:sz="16"/>
          <w:bottom w:val="nil"/>
          <w:right w:val="nil"/>
        </w:pBdr>
        <w:shd w:fill="EDF2F7" w:val="clear"/>
        <w:spacing w:after="0" w:before="60"/>
        <w:ind w:left="280"/>
      </w:pPr>
      <w:r>
        <w:rPr>
          <w:rFonts w:ascii="Courier New" w:cs="Courier New" w:eastAsia="Courier New" w:hAnsi="Courier New"/>
          <w:color w:val="1A365D"/>
          <w:sz w:val="18"/>
          <w:szCs w:val="18"/>
        </w:rPr>
        <w:t xml:space="preserve">NSE = 1 - [sum(Q_obs-Q_sim)^2] / [sum(Q_obs-Q_mean_obs)^2]</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Range: -inf to 1.0 (1.0=perfect)</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Thresholds: Very Good &gt;=0.75  |  Good 0.65-0.75  |  Satisfactory 0.50-0.65</w:t>
      </w:r>
    </w:p>
    <w:p>
      <w:pPr>
        <w:pBdr>
          <w:top w:val="nil"/>
          <w:left w:val="thick" w:color="0B3D8E" w:sz="16"/>
          <w:bottom w:val="nil"/>
          <w:right w:val="nil"/>
        </w:pBdr>
        <w:shd w:fill="EDF2F7" w:val="clear"/>
        <w:spacing w:after="60" w:before="0"/>
        <w:ind w:left="280"/>
      </w:pPr>
      <w:r>
        <w:rPr>
          <w:rFonts w:ascii="Courier New" w:cs="Courier New" w:eastAsia="Courier New" w:hAnsi="Courier New"/>
          <w:color w:val="1A365D"/>
          <w:sz w:val="18"/>
          <w:szCs w:val="18"/>
        </w:rPr>
        <w:t xml:space="preserve">HSAE Blue Nile: NSE = 0.63 (Satisfactory -- proxy-validated)</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Formula 6 -- KGE (Kling-Gupta Efficiency)</w:t>
      </w:r>
    </w:p>
    <w:p>
      <w:pPr>
        <w:pBdr>
          <w:top w:val="nil"/>
          <w:left w:val="thick" w:color="0B3D8E" w:sz="16"/>
          <w:bottom w:val="nil"/>
          <w:right w:val="nil"/>
        </w:pBdr>
        <w:shd w:fill="EDF2F7" w:val="clear"/>
        <w:spacing w:after="0" w:before="60"/>
        <w:ind w:left="280"/>
      </w:pPr>
      <w:r>
        <w:rPr>
          <w:rFonts w:ascii="Courier New" w:cs="Courier New" w:eastAsia="Courier New" w:hAnsi="Courier New"/>
          <w:color w:val="1A365D"/>
          <w:sz w:val="18"/>
          <w:szCs w:val="18"/>
        </w:rPr>
        <w:t xml:space="preserve">KGE = 1 - sqrt[(r-1)^2 + (alpha-1)^2 + (beta-1)^2]</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r     = Pearson correlation coefficient</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alpha = std(Q_sim)/std(Q_obs)  (variability ratio)</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beta  = mean(Q_sim)/mean(Q_obs) (bias ratio)</w:t>
      </w:r>
    </w:p>
    <w:p>
      <w:pPr>
        <w:pBdr>
          <w:top w:val="nil"/>
          <w:left w:val="thick" w:color="0B3D8E" w:sz="16"/>
          <w:bottom w:val="nil"/>
          <w:right w:val="nil"/>
        </w:pBdr>
        <w:shd w:fill="EDF2F7" w:val="clear"/>
        <w:spacing w:after="60" w:before="0"/>
        <w:ind w:left="280"/>
      </w:pPr>
      <w:r>
        <w:rPr>
          <w:rFonts w:ascii="Courier New" w:cs="Courier New" w:eastAsia="Courier New" w:hAnsi="Courier New"/>
          <w:color w:val="1A365D"/>
          <w:sz w:val="18"/>
          <w:szCs w:val="18"/>
        </w:rPr>
        <w:t xml:space="preserve">HSAE Blue Nile: KGE = 0.74 (Satisfactory -- proxy-validated)</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Formula 7 -- HBV-96 Core Structure</w:t>
      </w:r>
    </w:p>
    <w:p>
      <w:pPr>
        <w:pBdr>
          <w:top w:val="nil"/>
          <w:left w:val="thick" w:color="0B3D8E" w:sz="16"/>
          <w:bottom w:val="nil"/>
          <w:right w:val="nil"/>
        </w:pBdr>
        <w:shd w:fill="EDF2F7" w:val="clear"/>
        <w:spacing w:after="0" w:before="60"/>
        <w:ind w:left="280"/>
      </w:pPr>
      <w:r>
        <w:rPr>
          <w:rFonts w:ascii="Courier New" w:cs="Courier New" w:eastAsia="Courier New" w:hAnsi="Courier New"/>
          <w:color w:val="1A365D"/>
          <w:sz w:val="18"/>
          <w:szCs w:val="18"/>
        </w:rPr>
        <w:t xml:space="preserve">P --&gt; Snow module --&gt; Soil moisture (SM)</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dSM/dt = P - AET - R</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AET = PET*(SM/FC)^beta</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R   = SM*(SM/FC)^beta  (fast runoff)</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Parameters (9): FC,LP,BETA,K0,K1,K2,UZL,PERC,MAXBAS</w:t>
      </w:r>
    </w:p>
    <w:p>
      <w:pPr>
        <w:pBdr>
          <w:top w:val="nil"/>
          <w:left w:val="thick" w:color="0B3D8E" w:sz="16"/>
          <w:bottom w:val="nil"/>
          <w:right w:val="nil"/>
        </w:pBdr>
        <w:shd w:fill="EDF2F7" w:val="clear"/>
        <w:spacing w:after="60" w:before="0"/>
        <w:ind w:left="280"/>
      </w:pPr>
      <w:r>
        <w:rPr>
          <w:rFonts w:ascii="Courier New" w:cs="Courier New" w:eastAsia="Courier New" w:hAnsi="Courier New"/>
          <w:color w:val="1A365D"/>
          <w:sz w:val="18"/>
          <w:szCs w:val="18"/>
        </w:rPr>
        <w:t xml:space="preserve">Calibration: SCE-UA (Duan 1993), 1000 iterations</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Formula 8 -- Sobol First-Order Sensitivity Index</w:t>
      </w:r>
    </w:p>
    <w:p>
      <w:pPr>
        <w:pBdr>
          <w:top w:val="nil"/>
          <w:left w:val="thick" w:color="0B3D8E" w:sz="16"/>
          <w:bottom w:val="nil"/>
          <w:right w:val="nil"/>
        </w:pBdr>
        <w:shd w:fill="EDF2F7" w:val="clear"/>
        <w:spacing w:after="0" w:before="60"/>
        <w:ind w:left="280"/>
      </w:pPr>
      <w:r>
        <w:rPr>
          <w:rFonts w:ascii="Courier New" w:cs="Courier New" w:eastAsia="Courier New" w:hAnsi="Courier New"/>
          <w:color w:val="1A365D"/>
          <w:sz w:val="18"/>
          <w:szCs w:val="18"/>
        </w:rPr>
        <w:t xml:space="preserve">S1_i = V[E(Y|X_i)] / V(Y)</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Y   = model output (ATDI)</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X_i = parameter i</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V() = variance  |  E() = expectation</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sum(S1_i) approx 1.0 for additive models</w:t>
      </w:r>
    </w:p>
    <w:p>
      <w:pPr>
        <w:pBdr>
          <w:top w:val="nil"/>
          <w:left w:val="thick" w:color="0B3D8E" w:sz="16"/>
          <w:bottom w:val="nil"/>
          <w:right w:val="nil"/>
        </w:pBdr>
        <w:shd w:fill="EDF2F7" w:val="clear"/>
        <w:spacing w:after="60" w:before="0"/>
        <w:ind w:left="280"/>
      </w:pPr>
      <w:r>
        <w:rPr>
          <w:rFonts w:ascii="Courier New" w:cs="Courier New" w:eastAsia="Courier New" w:hAnsi="Courier New"/>
          <w:color w:val="1A365D"/>
          <w:sz w:val="18"/>
          <w:szCs w:val="18"/>
        </w:rPr>
        <w:t xml:space="preserve">Blue Nile: S1(RC)=0.312, S1(Cap)=0.228, S1(Dispute)=0.187</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7.3  HBV-96 Performance Benchmarks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000"/>
        <w:gridCol w:w="1500"/>
        <w:gridCol w:w="1500"/>
        <w:gridCol w:w="4000"/>
      </w:tblGrid>
      <w:tr>
        <w:trPr>
          <w:tblHeader/>
        </w:trPr>
        <w:tc>
          <w:tcPr>
            <w:tcW w:type="dxa" w:w="2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Performance</w:t>
            </w:r>
          </w:p>
        </w:tc>
        <w:tc>
          <w:tcPr>
            <w:tcW w:type="dxa" w:w="1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NSE</w:t>
            </w:r>
          </w:p>
        </w:tc>
        <w:tc>
          <w:tcPr>
            <w:tcW w:type="dxa" w:w="1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KGE</w:t>
            </w:r>
          </w:p>
        </w:tc>
        <w:tc>
          <w:tcPr>
            <w:tcW w:type="dxa" w:w="4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HSAE Status</w:t>
            </w:r>
          </w:p>
        </w:tc>
      </w:tr>
      <w:tr>
        <w:trPr>
          <w:tblHeader w:val="false"/>
        </w:trPr>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Very Good</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&gt;=0.75</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&gt;=0.75</w:t>
            </w:r>
          </w:p>
        </w:tc>
        <w:tc>
          <w:tcPr>
            <w:tcW w:type="dxa" w:w="4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Target (post-GRDC calibration)</w:t>
            </w:r>
          </w:p>
        </w:tc>
      </w:tr>
      <w:tr>
        <w:trPr>
          <w:tblHeader w:val="false"/>
        </w:trPr>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Good</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0.65-0.75</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0.65-0.75</w:t>
            </w:r>
          </w:p>
        </w:tc>
        <w:tc>
          <w:tcPr>
            <w:tcW w:type="dxa" w:w="4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Below threshold (proxy limitation)</w:t>
            </w:r>
          </w:p>
        </w:tc>
      </w:tr>
      <w:tr>
        <w:trPr>
          <w:tblHeader w:val="false"/>
        </w:trPr>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Satisfactory</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0.50-0.65</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0.50-0.65</w:t>
            </w:r>
          </w:p>
        </w:tc>
        <w:tc>
          <w:tcPr>
            <w:tcW w:type="dxa" w:w="4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NSE=0.63 KGE=0.74 achieved</w:t>
            </w:r>
          </w:p>
        </w:tc>
      </w:tr>
      <w:tr>
        <w:trPr>
          <w:tblHeader w:val="false"/>
        </w:trPr>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Unsatisfactory</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&lt;0.50</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&lt;0.50</w:t>
            </w:r>
          </w:p>
        </w:tc>
        <w:tc>
          <w:tcPr>
            <w:tcW w:type="dxa" w:w="4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N/A</w:t>
            </w:r>
          </w:p>
        </w:tc>
      </w:tr>
    </w:tbl>
    <w:p>
      <w:pPr>
        <w:pBdr>
          <w:top w:val="nil"/>
          <w:left w:val="thick" w:color="0B3D8E" w:sz="18"/>
          <w:bottom w:val="nil"/>
          <w:right w:val="nil"/>
        </w:pBdr>
        <w:shd w:fill="EBF4FF" w:val="clear"/>
        <w:spacing w:after="60" w:before="60"/>
        <w:ind w:left="280"/>
        <w:jc w:val="left"/>
      </w:pPr>
      <w:r>
        <w:rPr>
          <w:rFonts w:ascii="Arial" w:cs="Arial" w:eastAsia="Arial" w:hAnsi="Arial"/>
          <w:b w:val="false"/>
          <w:bCs w:val="false"/>
          <w:i w:val="false"/>
          <w:iCs w:val="false"/>
          <w:color w:val="1A365D"/>
          <w:sz w:val="19"/>
          <w:szCs w:val="19"/>
        </w:rPr>
        <w:t xml:space="preserve">NOTE:   NSE=0.63 proxy-validated vs GloFAS ERA5 v4. Target NSE&gt;=0.70 after GRDC Request 78949 data.</w:t>
      </w:r>
    </w:p>
    <w:p>
      <w:pPr>
        <w:spacing w:after="80"/>
      </w:pPr>
      <w:r>
        <w:t xml:space="preserve"/>
      </w:r>
    </w:p>
    <w:p>
      <w:pPr>
        <w:pStyle w:val="Heading1"/>
        <w:pageBreakBefore/>
        <w:pBdr>
          <w:bottom w:val="single" w:color="0E6B6A" w:sz="6"/>
        </w:pBdr>
        <w:shd w:fill="061F4A" w:val="clear"/>
        <w:spacing w:after="200" w:before="0"/>
        <w:ind w:left="260"/>
      </w:pPr>
      <w:r>
        <w:rPr>
          <w:rFonts w:ascii="Arial" w:cs="Arial" w:eastAsia="Arial" w:hAnsi="Arial"/>
          <w:b/>
          <w:bCs/>
          <w:i w:val="false"/>
          <w:iCs w:val="false"/>
          <w:color w:val="FFFFFF"/>
          <w:sz w:val="28"/>
          <w:szCs w:val="28"/>
        </w:rPr>
        <w:t xml:space="preserve">Chapter 8 -- Google Earth Engine Data Sources (9 Sensors)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400"/>
        <w:gridCol w:w="2500"/>
        <w:gridCol w:w="1200"/>
        <w:gridCol w:w="2900"/>
      </w:tblGrid>
      <w:tr>
        <w:trPr>
          <w:tblHeader/>
        </w:trPr>
        <w:tc>
          <w:tcPr>
            <w:tcW w:type="dxa" w:w="24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Source</w:t>
            </w:r>
          </w:p>
        </w:tc>
        <w:tc>
          <w:tcPr>
            <w:tcW w:type="dxa" w:w="2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Variable</w:t>
            </w:r>
          </w:p>
        </w:tc>
        <w:tc>
          <w:tcPr>
            <w:tcW w:type="dxa" w:w="12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Resolution</w:t>
            </w:r>
          </w:p>
        </w:tc>
        <w:tc>
          <w:tcPr>
            <w:tcW w:type="dxa" w:w="29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Archive</w:t>
            </w:r>
          </w:p>
        </w:tc>
      </w:tr>
      <w:tr>
        <w:trPr>
          <w:tblHeader w:val="false"/>
        </w:trPr>
        <w:tc>
          <w:tcPr>
            <w:tcW w:type="dxa" w:w="2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GPM IMERG V07</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Precipitation mm/day</w:t>
            </w:r>
          </w:p>
        </w:tc>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0.1 deg</w:t>
            </w:r>
          </w:p>
        </w:tc>
        <w:tc>
          <w:tcPr>
            <w:tcW w:type="dxa" w:w="29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2000-present</w:t>
            </w:r>
          </w:p>
        </w:tc>
      </w:tr>
      <w:tr>
        <w:trPr>
          <w:tblHeader w:val="false"/>
        </w:trPr>
        <w:tc>
          <w:tcPr>
            <w:tcW w:type="dxa" w:w="2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GRACE-FO MASCON RL06v4</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TWS anomaly cm</w:t>
            </w:r>
          </w:p>
        </w:tc>
        <w:tc>
          <w:tcPr>
            <w:tcW w:type="dxa" w:w="1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0.5 deg</w:t>
            </w:r>
          </w:p>
        </w:tc>
        <w:tc>
          <w:tcPr>
            <w:tcW w:type="dxa" w:w="29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2018-present</w:t>
            </w:r>
          </w:p>
        </w:tc>
      </w:tr>
      <w:tr>
        <w:trPr>
          <w:tblHeader w:val="false"/>
        </w:trPr>
        <w:tc>
          <w:tcPr>
            <w:tcW w:type="dxa" w:w="2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SMAP SPL3SMP</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Soil moisture m3/m3</w:t>
            </w:r>
          </w:p>
        </w:tc>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10 km</w:t>
            </w:r>
          </w:p>
        </w:tc>
        <w:tc>
          <w:tcPr>
            <w:tcW w:type="dxa" w:w="29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2015-present</w:t>
            </w:r>
          </w:p>
        </w:tc>
      </w:tr>
      <w:tr>
        <w:trPr>
          <w:tblHeader w:val="false"/>
        </w:trPr>
        <w:tc>
          <w:tcPr>
            <w:tcW w:type="dxa" w:w="2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Sentinel-1 GRD (Lee filter)</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SAR VV backscatter dB</w:t>
            </w:r>
          </w:p>
        </w:tc>
        <w:tc>
          <w:tcPr>
            <w:tcW w:type="dxa" w:w="1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10 m</w:t>
            </w:r>
          </w:p>
        </w:tc>
        <w:tc>
          <w:tcPr>
            <w:tcW w:type="dxa" w:w="29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2014-present</w:t>
            </w:r>
          </w:p>
        </w:tc>
      </w:tr>
      <w:tr>
        <w:trPr>
          <w:tblHeader w:val="false"/>
        </w:trPr>
        <w:tc>
          <w:tcPr>
            <w:tcW w:type="dxa" w:w="2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Sentinel-2 SR (QA60 mask)</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NDWI, NDVI</w:t>
            </w:r>
          </w:p>
        </w:tc>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10 m</w:t>
            </w:r>
          </w:p>
        </w:tc>
        <w:tc>
          <w:tcPr>
            <w:tcW w:type="dxa" w:w="29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2015-present</w:t>
            </w:r>
          </w:p>
        </w:tc>
      </w:tr>
      <w:tr>
        <w:trPr>
          <w:tblHeader w:val="false"/>
        </w:trPr>
        <w:tc>
          <w:tcPr>
            <w:tcW w:type="dxa" w:w="2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ERA5 ECMWF</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Air temperature C</w:t>
            </w:r>
          </w:p>
        </w:tc>
        <w:tc>
          <w:tcPr>
            <w:tcW w:type="dxa" w:w="1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0.25 deg</w:t>
            </w:r>
          </w:p>
        </w:tc>
        <w:tc>
          <w:tcPr>
            <w:tcW w:type="dxa" w:w="29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1979-present</w:t>
            </w:r>
          </w:p>
        </w:tc>
      </w:tr>
      <w:tr>
        <w:trPr>
          <w:tblHeader w:val="false"/>
        </w:trPr>
        <w:tc>
          <w:tcPr>
            <w:tcW w:type="dxa" w:w="2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Open-Meteo API</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 P, ET0, SM</w:t>
            </w:r>
          </w:p>
        </w:tc>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0.25 deg</w:t>
            </w:r>
          </w:p>
        </w:tc>
        <w:tc>
          <w:tcPr>
            <w:tcW w:type="dxa" w:w="29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1940-present</w:t>
            </w:r>
          </w:p>
        </w:tc>
      </w:tr>
      <w:tr>
        <w:trPr>
          <w:tblHeader w:val="false"/>
        </w:trPr>
        <w:tc>
          <w:tcPr>
            <w:tcW w:type="dxa" w:w="2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MODIS MOD16A2</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Evapotranspiration mm/8day</w:t>
            </w:r>
          </w:p>
        </w:tc>
        <w:tc>
          <w:tcPr>
            <w:tcW w:type="dxa" w:w="1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500 m</w:t>
            </w:r>
          </w:p>
        </w:tc>
        <w:tc>
          <w:tcPr>
            <w:tcW w:type="dxa" w:w="29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2000-present</w:t>
            </w:r>
          </w:p>
        </w:tc>
      </w:tr>
      <w:tr>
        <w:trPr>
          <w:tblHeader w:val="false"/>
        </w:trPr>
        <w:tc>
          <w:tcPr>
            <w:tcW w:type="dxa" w:w="2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VIIRS NTL</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Night lights proxy</w:t>
            </w:r>
          </w:p>
        </w:tc>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500 m</w:t>
            </w:r>
          </w:p>
        </w:tc>
        <w:tc>
          <w:tcPr>
            <w:tcW w:type="dxa" w:w="29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2012-present</w:t>
            </w:r>
          </w:p>
        </w:tc>
      </w:tr>
    </w:tbl>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8.1  Key Processing Features</w:t>
      </w:r>
    </w:p>
    <w:p>
      <w:pPr>
        <w:pStyle w:val="ListParagraph"/>
        <w:numPr>
          <w:ilvl w:val="0"/>
          <w:numId w:val="3"/>
        </w:numPr>
        <w:spacing w:after="55"/>
      </w:pPr>
      <w:r>
        <w:rPr>
          <w:rFonts w:ascii="Arial" w:cs="Arial" w:eastAsia="Arial" w:hAnsi="Arial"/>
          <w:b/>
          <w:bCs/>
          <w:i w:val="false"/>
          <w:iCs w:val="false"/>
          <w:color w:val="061F4A"/>
          <w:sz w:val="20"/>
          <w:szCs w:val="20"/>
        </w:rPr>
        <w:t xml:space="preserve">Lee speckle filter: </w:t>
      </w:r>
      <w:r>
        <w:rPr>
          <w:rFonts w:ascii="Arial" w:cs="Arial" w:eastAsia="Arial" w:hAnsi="Arial"/>
          <w:b w:val="false"/>
          <w:bCs w:val="false"/>
          <w:i w:val="false"/>
          <w:iCs w:val="false"/>
          <w:color w:val="1A202C"/>
          <w:sz w:val="20"/>
          <w:szCs w:val="20"/>
        </w:rPr>
        <w:t xml:space="preserve">Applied to Sentinel-1 SAR to reduce noise before analysis</w:t>
      </w:r>
    </w:p>
    <w:p>
      <w:pPr>
        <w:pStyle w:val="ListParagraph"/>
        <w:numPr>
          <w:ilvl w:val="0"/>
          <w:numId w:val="3"/>
        </w:numPr>
        <w:spacing w:after="55"/>
      </w:pPr>
      <w:r>
        <w:rPr>
          <w:rFonts w:ascii="Arial" w:cs="Arial" w:eastAsia="Arial" w:hAnsi="Arial"/>
          <w:b/>
          <w:bCs/>
          <w:i w:val="false"/>
          <w:iCs w:val="false"/>
          <w:color w:val="061F4A"/>
          <w:sz w:val="20"/>
          <w:szCs w:val="20"/>
        </w:rPr>
        <w:t xml:space="preserve">QA60 cloud masking: </w:t>
      </w:r>
      <w:r>
        <w:rPr>
          <w:rFonts w:ascii="Arial" w:cs="Arial" w:eastAsia="Arial" w:hAnsi="Arial"/>
          <w:b w:val="false"/>
          <w:bCs w:val="false"/>
          <w:i w:val="false"/>
          <w:iCs w:val="false"/>
          <w:color w:val="1A202C"/>
          <w:sz w:val="20"/>
          <w:szCs w:val="20"/>
        </w:rPr>
        <w:t xml:space="preserve">Applied to Sentinel-2 (cloud probability &lt;20%)</w:t>
      </w:r>
    </w:p>
    <w:p>
      <w:pPr>
        <w:pStyle w:val="ListParagraph"/>
        <w:numPr>
          <w:ilvl w:val="0"/>
          <w:numId w:val="3"/>
        </w:numPr>
        <w:spacing w:after="55"/>
      </w:pPr>
      <w:r>
        <w:rPr>
          <w:rFonts w:ascii="Arial" w:cs="Arial" w:eastAsia="Arial" w:hAnsi="Arial"/>
          <w:b/>
          <w:bCs/>
          <w:i w:val="false"/>
          <w:iCs w:val="false"/>
          <w:color w:val="061F4A"/>
          <w:sz w:val="20"/>
          <w:szCs w:val="20"/>
        </w:rPr>
        <w:t xml:space="preserve">Basin boundary clipping: </w:t>
      </w:r>
      <w:r>
        <w:rPr>
          <w:rFonts w:ascii="Arial" w:cs="Arial" w:eastAsia="Arial" w:hAnsi="Arial"/>
          <w:b w:val="false"/>
          <w:bCs w:val="false"/>
          <w:i w:val="false"/>
          <w:iCs w:val="false"/>
          <w:color w:val="1A202C"/>
          <w:sz w:val="20"/>
          <w:szCs w:val="20"/>
        </w:rPr>
        <w:t xml:space="preserve">All scripts auto-clip to selected basin boundary</w:t>
      </w:r>
    </w:p>
    <w:p>
      <w:pPr>
        <w:pStyle w:val="ListParagraph"/>
        <w:numPr>
          <w:ilvl w:val="0"/>
          <w:numId w:val="3"/>
        </w:numPr>
        <w:spacing w:after="55"/>
      </w:pPr>
      <w:r>
        <w:rPr>
          <w:rFonts w:ascii="Arial" w:cs="Arial" w:eastAsia="Arial" w:hAnsi="Arial"/>
          <w:b/>
          <w:bCs/>
          <w:i w:val="false"/>
          <w:iCs w:val="false"/>
          <w:color w:val="061F4A"/>
          <w:sz w:val="20"/>
          <w:szCs w:val="20"/>
        </w:rPr>
        <w:t xml:space="preserve">ThreadPoolExecutor: </w:t>
      </w:r>
      <w:r>
        <w:rPr>
          <w:rFonts w:ascii="Arial" w:cs="Arial" w:eastAsia="Arial" w:hAnsi="Arial"/>
          <w:b w:val="false"/>
          <w:bCs w:val="false"/>
          <w:i w:val="false"/>
          <w:iCs w:val="false"/>
          <w:color w:val="1A202C"/>
          <w:sz w:val="20"/>
          <w:szCs w:val="20"/>
        </w:rPr>
        <w:t xml:space="preserve">All 9 sensors queried in parallel for ~6x speed improvement</w:t>
      </w:r>
    </w:p>
    <w:p>
      <w:pPr>
        <w:spacing w:after="80"/>
      </w:pPr>
      <w:r>
        <w:t xml:space="preserve"/>
      </w:r>
    </w:p>
    <w:p>
      <w:pPr>
        <w:pStyle w:val="Heading1"/>
        <w:pageBreakBefore/>
        <w:pBdr>
          <w:bottom w:val="single" w:color="0E6B6A" w:sz="6"/>
        </w:pBdr>
        <w:shd w:fill="061F4A" w:val="clear"/>
        <w:spacing w:after="200" w:before="0"/>
        <w:ind w:left="260"/>
      </w:pPr>
      <w:r>
        <w:rPr>
          <w:rFonts w:ascii="Arial" w:cs="Arial" w:eastAsia="Arial" w:hAnsi="Arial"/>
          <w:b/>
          <w:bCs/>
          <w:i w:val="false"/>
          <w:iCs w:val="false"/>
          <w:color w:val="FFFFFF"/>
          <w:sz w:val="28"/>
          <w:szCs w:val="28"/>
        </w:rPr>
        <w:t xml:space="preserve">Chapter 9 -- Troubleshooting, FAQ &amp; Error Code Reference</w:t>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9.1  General Issues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500"/>
        <w:gridCol w:w="2000"/>
        <w:gridCol w:w="4500"/>
      </w:tblGrid>
      <w:tr>
        <w:trPr>
          <w:tblHeader/>
        </w:trPr>
        <w:tc>
          <w:tcPr>
            <w:tcW w:type="dxa" w:w="2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Problem</w:t>
            </w:r>
          </w:p>
        </w:tc>
        <w:tc>
          <w:tcPr>
            <w:tcW w:type="dxa" w:w="2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Cause</w:t>
            </w:r>
          </w:p>
        </w:tc>
        <w:tc>
          <w:tcPr>
            <w:tcW w:type="dxa" w:w="4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Solution</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Plugin not in Plugin Manager</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Repo not refreshed</w:t>
            </w:r>
          </w:p>
        </w:tc>
        <w:tc>
          <w:tcPr>
            <w:tcW w:type="dxa" w:w="4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Plugins --&gt; Manage --&gt; Reload all repositories</w:t>
            </w:r>
          </w:p>
        </w:tc>
      </w:tr>
      <w:tr>
        <w:trPr>
          <w:tblHeader w:val="false"/>
        </w:trPr>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HSAE menu missing after install</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QGIS needs restart</w:t>
            </w:r>
          </w:p>
        </w:tc>
        <w:tc>
          <w:tcPr>
            <w:tcW w:type="dxa" w:w="4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Restart QGIS --&gt; check menu bar</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Plugin disappears after restart</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Not ticked</w:t>
            </w:r>
          </w:p>
        </w:tc>
        <w:tc>
          <w:tcPr>
            <w:tcW w:type="dxa" w:w="4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Plugins --&gt; Installed --&gt; tick HydroSovereign</w:t>
            </w:r>
          </w:p>
        </w:tc>
      </w:tr>
      <w:tr>
        <w:trPr>
          <w:tblHeader w:val="false"/>
        </w:trPr>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Error loading plugin</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QGIS &lt; 3.16</w:t>
            </w:r>
          </w:p>
        </w:tc>
        <w:tc>
          <w:tcPr>
            <w:tcW w:type="dxa" w:w="4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Update QGIS to &gt;= 3.16 LTR from qgis.org</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Processing algorithms missing</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Processing disabled</w:t>
            </w:r>
          </w:p>
        </w:tc>
        <w:tc>
          <w:tcPr>
            <w:tcW w:type="dxa" w:w="4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Plugins --&gt; Manage --&gt; tick Processing</w:t>
            </w:r>
          </w:p>
        </w:tc>
      </w:tr>
    </w:tbl>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9.2  Tool-Specific Issues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500"/>
        <w:gridCol w:w="2500"/>
        <w:gridCol w:w="5000"/>
      </w:tblGrid>
      <w:tr>
        <w:trPr>
          <w:tblHeader/>
        </w:trPr>
        <w:tc>
          <w:tcPr>
            <w:tcW w:type="dxa" w:w="1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Tool</w:t>
            </w:r>
          </w:p>
        </w:tc>
        <w:tc>
          <w:tcPr>
            <w:tcW w:type="dxa" w:w="2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Problem</w:t>
            </w:r>
          </w:p>
        </w:tc>
        <w:tc>
          <w:tcPr>
            <w:tcW w:type="dxa" w:w="5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Solution</w:t>
            </w:r>
          </w:p>
        </w:tc>
      </w:tr>
      <w:tr>
        <w:trPr>
          <w:tblHeader w:val="false"/>
        </w:trPr>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2</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No layer selected</w:t>
            </w:r>
          </w:p>
        </w:tc>
        <w:tc>
          <w:tcPr>
            <w:tcW w:type="dxa" w:w="5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Single-click Basin Registry in Layers panel FIRST</w:t>
            </w:r>
          </w:p>
        </w:tc>
      </w:tr>
      <w:tr>
        <w:trPr>
          <w:tblHeader w:val="false"/>
        </w:trPr>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2</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Basins not recoloured</w:t>
            </w:r>
          </w:p>
        </w:tc>
        <w:tc>
          <w:tcPr>
            <w:tcW w:type="dxa" w:w="5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Ensure Tool 1 has been run and layer is selected</w:t>
            </w:r>
          </w:p>
        </w:tc>
      </w:tr>
      <w:tr>
        <w:trPr>
          <w:tblHeader w:val="false"/>
        </w:trPr>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Tools 14/15/16</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Not in menu</w:t>
            </w:r>
          </w:p>
        </w:tc>
        <w:tc>
          <w:tcPr>
            <w:tcW w:type="dxa" w:w="5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Plugin Manager --&gt; Upgradeable --&gt; Update to v6.0.3</w:t>
            </w:r>
          </w:p>
        </w:tc>
      </w:tr>
      <w:tr>
        <w:trPr>
          <w:tblHeader w:val="false"/>
        </w:trPr>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Tools 14/15/16</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WebEngine warning</w:t>
            </w:r>
          </w:p>
        </w:tc>
        <w:tc>
          <w:tcPr>
            <w:tcW w:type="dxa" w:w="5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pip install PyQtWebEngine in QGIS Python Console</w:t>
            </w:r>
          </w:p>
        </w:tc>
      </w:tr>
      <w:tr>
        <w:trPr>
          <w:tblHeader w:val="false"/>
        </w:trPr>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14</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Map loads blank</w:t>
            </w:r>
          </w:p>
        </w:tc>
        <w:tc>
          <w:tcPr>
            <w:tcW w:type="dxa" w:w="5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Wait 5 sec; check internet (Leaflet CDN required first load)</w:t>
            </w:r>
          </w:p>
        </w:tc>
      </w:tr>
      <w:tr>
        <w:trPr>
          <w:tblHeader w:val="false"/>
        </w:trPr>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15</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Uncertainty shows zeros</w:t>
            </w:r>
          </w:p>
        </w:tc>
        <w:tc>
          <w:tcPr>
            <w:tcW w:type="dxa" w:w="5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Run Tool 1 first to load basins</w:t>
            </w:r>
          </w:p>
        </w:tc>
      </w:tr>
      <w:tr>
        <w:trPr>
          <w:tblHeader w:val="false"/>
        </w:trPr>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16</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ATCI always 0%</w:t>
            </w:r>
          </w:p>
        </w:tc>
        <w:tc>
          <w:tcPr>
            <w:tcW w:type="dxa" w:w="5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Run Tool 6 Dashboard for the basin first</w:t>
            </w:r>
          </w:p>
        </w:tc>
      </w:tr>
      <w:tr>
        <w:trPr>
          <w:tblHeader w:val="false"/>
        </w:trPr>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5</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GEE auth error</w:t>
            </w:r>
          </w:p>
        </w:tc>
        <w:tc>
          <w:tcPr>
            <w:tcW w:type="dxa" w:w="5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earthengine authenticate in terminal</w:t>
            </w:r>
          </w:p>
        </w:tc>
      </w:tr>
      <w:tr>
        <w:trPr>
          <w:tblHeader w:val="false"/>
        </w:trPr>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9</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HTML map blank</w:t>
            </w:r>
          </w:p>
        </w:tc>
        <w:tc>
          <w:tcPr>
            <w:tcW w:type="dxa" w:w="5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Use Chrome or Firefox; ensure JavaScript enabled</w:t>
            </w:r>
          </w:p>
        </w:tc>
      </w:tr>
      <w:tr>
        <w:trPr>
          <w:tblHeader w:val="false"/>
        </w:trPr>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10</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Export file empty</w:t>
            </w:r>
          </w:p>
        </w:tc>
        <w:tc>
          <w:tcPr>
            <w:tcW w:type="dxa" w:w="5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Save to Desktop/Documents (not read-only folder)</w:t>
            </w:r>
          </w:p>
        </w:tc>
      </w:tr>
    </w:tbl>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9.3  Error Code Reference [NEW]</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200"/>
        <w:gridCol w:w="2200"/>
        <w:gridCol w:w="2200"/>
        <w:gridCol w:w="3400"/>
      </w:tblGrid>
      <w:tr>
        <w:trPr>
          <w:tblHeader/>
        </w:trPr>
        <w:tc>
          <w:tcPr>
            <w:tcW w:type="dxa" w:w="12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Error Code</w:t>
            </w:r>
          </w:p>
        </w:tc>
        <w:tc>
          <w:tcPr>
            <w:tcW w:type="dxa" w:w="22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Message</w:t>
            </w:r>
          </w:p>
        </w:tc>
        <w:tc>
          <w:tcPr>
            <w:tcW w:type="dxa" w:w="22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Cause</w:t>
            </w:r>
          </w:p>
        </w:tc>
        <w:tc>
          <w:tcPr>
            <w:tcW w:type="dxa" w:w="34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Fix</w:t>
            </w:r>
          </w:p>
        </w:tc>
      </w:tr>
      <w:tr>
        <w:trPr>
          <w:tblHeader w:val="false"/>
        </w:trPr>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HSAE-001</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No active layer</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run without active layer</w:t>
            </w:r>
          </w:p>
        </w:tc>
        <w:tc>
          <w:tcPr>
            <w:tcW w:type="dxa" w:w="3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Single-click Basin Registry first</w:t>
            </w:r>
          </w:p>
        </w:tc>
      </w:tr>
      <w:tr>
        <w:trPr>
          <w:tblHeader w:val="false"/>
        </w:trPr>
        <w:tc>
          <w:tcPr>
            <w:tcW w:type="dxa" w:w="1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HSAE-002</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WebEngine unavailable</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PyQtWebEngine not installed</w:t>
            </w:r>
          </w:p>
        </w:tc>
        <w:tc>
          <w:tcPr>
            <w:tcW w:type="dxa" w:w="3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pip install PyQtWebEngine</w:t>
            </w:r>
          </w:p>
        </w:tc>
      </w:tr>
      <w:tr>
        <w:trPr>
          <w:tblHeader w:val="false"/>
        </w:trPr>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HSAE-003</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GEE authentication failed</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Not authenticated</w:t>
            </w:r>
          </w:p>
        </w:tc>
        <w:tc>
          <w:tcPr>
            <w:tcW w:type="dxa" w:w="3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earthengine authenticate</w:t>
            </w:r>
          </w:p>
        </w:tc>
      </w:tr>
      <w:tr>
        <w:trPr>
          <w:tblHeader w:val="false"/>
        </w:trPr>
        <w:tc>
          <w:tcPr>
            <w:tcW w:type="dxa" w:w="1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HSAE-004</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Basin data not loaded</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before basins loaded</w:t>
            </w:r>
          </w:p>
        </w:tc>
        <w:tc>
          <w:tcPr>
            <w:tcW w:type="dxa" w:w="3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Run Tool 1 first</w:t>
            </w:r>
          </w:p>
        </w:tc>
      </w:tr>
      <w:tr>
        <w:trPr>
          <w:tblHeader w:val="false"/>
        </w:trPr>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HSAE-005</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GRDC station restricted</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Access requires approval</w:t>
            </w:r>
          </w:p>
        </w:tc>
        <w:tc>
          <w:tcPr>
            <w:tcW w:type="dxa" w:w="3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Use GloFAS ERA5 proxy</w:t>
            </w:r>
          </w:p>
        </w:tc>
      </w:tr>
      <w:tr>
        <w:trPr>
          <w:tblHeader w:val="false"/>
        </w:trPr>
        <w:tc>
          <w:tcPr>
            <w:tcW w:type="dxa" w:w="1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HSAE-006</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JSON parse error</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basins_50.json corrupted</w:t>
            </w:r>
          </w:p>
        </w:tc>
        <w:tc>
          <w:tcPr>
            <w:tcW w:type="dxa" w:w="3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Reinstall plugin to restore</w:t>
            </w:r>
          </w:p>
        </w:tc>
      </w:tr>
      <w:tr>
        <w:trPr>
          <w:tblHeader w:val="false"/>
        </w:trPr>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HSAE-007</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CRS mismatch</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Layer CRS differs</w:t>
            </w:r>
          </w:p>
        </w:tc>
        <w:tc>
          <w:tcPr>
            <w:tcW w:type="dxa" w:w="3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Project Properties --&gt; EPSG:4326</w:t>
            </w:r>
          </w:p>
        </w:tc>
      </w:tr>
      <w:tr>
        <w:trPr>
          <w:tblHeader w:val="false"/>
        </w:trPr>
        <w:tc>
          <w:tcPr>
            <w:tcW w:type="dxa" w:w="1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HSAE-008</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Export write permission</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Output folder read-only</w:t>
            </w:r>
          </w:p>
        </w:tc>
        <w:tc>
          <w:tcPr>
            <w:tcW w:type="dxa" w:w="3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Change to Desktop/Documents</w:t>
            </w:r>
          </w:p>
        </w:tc>
      </w:tr>
      <w:tr>
        <w:trPr>
          <w:tblHeader w:val="false"/>
        </w:trPr>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HSAE-009</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Algorithm not found</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Plugin version mismatch</w:t>
            </w:r>
          </w:p>
        </w:tc>
        <w:tc>
          <w:tcPr>
            <w:tcW w:type="dxa" w:w="3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Update to v6.0.3</w:t>
            </w:r>
          </w:p>
        </w:tc>
      </w:tr>
      <w:tr>
        <w:trPr>
          <w:tblHeader w:val="false"/>
        </w:trPr>
        <w:tc>
          <w:tcPr>
            <w:tcW w:type="dxa" w:w="1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HSAE-010</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HBV calibration failed</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Invalid parameter range</w:t>
            </w:r>
          </w:p>
        </w:tc>
        <w:tc>
          <w:tcPr>
            <w:tcW w:type="dxa" w:w="3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Check: RC 0.1-0.9, Cap &gt; 0</w:t>
            </w:r>
          </w:p>
        </w:tc>
      </w:tr>
    </w:tbl>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9.4  Frequently Asked Questions</w:t>
      </w:r>
    </w:p>
    <w:p>
      <w:pPr>
        <w:pStyle w:val="Heading3"/>
        <w:spacing w:after="60" w:before="130"/>
      </w:pPr>
      <w:r>
        <w:rPr>
          <w:rFonts w:ascii="Arial" w:cs="Arial" w:eastAsia="Arial" w:hAnsi="Arial"/>
          <w:b/>
          <w:bCs/>
          <w:i w:val="false"/>
          <w:iCs w:val="false"/>
          <w:color w:val="0E6B6A"/>
          <w:sz w:val="20"/>
          <w:szCs w:val="20"/>
        </w:rPr>
        <w:t xml:space="preserve">Q: Can I use HSAE for actual legal proceedings?</w:t>
      </w:r>
    </w:p>
    <w:p>
      <w:pPr>
        <w:spacing w:after="85" w:before="0"/>
        <w:jc w:val="left"/>
      </w:pPr>
      <w:r>
        <w:rPr>
          <w:rFonts w:ascii="Arial" w:cs="Arial" w:eastAsia="Arial" w:hAnsi="Arial"/>
          <w:b w:val="false"/>
          <w:bCs w:val="false"/>
          <w:i w:val="false"/>
          <w:iCs w:val="false"/>
          <w:color w:val="1A202C"/>
          <w:sz w:val="20"/>
          <w:szCs w:val="20"/>
        </w:rPr>
        <w:t xml:space="preserve">A: HSAE provides indicator-based assessments to support expert legal review. It is not a legal instrument. Any use in formal proceedings requires review by qualified international water law experts and independent data verification.</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Q: Why NSE=0.63 instead of the target 0.70+?</w:t>
      </w:r>
    </w:p>
    <w:p>
      <w:pPr>
        <w:spacing w:after="85" w:before="0"/>
        <w:jc w:val="left"/>
      </w:pPr>
      <w:r>
        <w:rPr>
          <w:rFonts w:ascii="Arial" w:cs="Arial" w:eastAsia="Arial" w:hAnsi="Arial"/>
          <w:b w:val="false"/>
          <w:bCs w:val="false"/>
          <w:i w:val="false"/>
          <w:iCs w:val="false"/>
          <w:color w:val="1A202C"/>
          <w:sz w:val="20"/>
          <w:szCs w:val="20"/>
        </w:rPr>
        <w:t xml:space="preserve">A: NSE=0.63 is proxy-validated against GloFAS ERA5 v4, not actual gauge measurements. El Diem station (GRDC 1763100, 174,000 km2) is restricted. Ground-truth calibration targeting NSE&gt;=0.70 will be performed upon receipt of GRDC data (Request ID: 78949).</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Q: Does the plugin require internet at all times?</w:t>
      </w:r>
    </w:p>
    <w:p>
      <w:pPr>
        <w:spacing w:after="85" w:before="0"/>
        <w:jc w:val="left"/>
      </w:pPr>
      <w:r>
        <w:rPr>
          <w:rFonts w:ascii="Arial" w:cs="Arial" w:eastAsia="Arial" w:hAnsi="Arial"/>
          <w:b w:val="false"/>
          <w:bCs w:val="false"/>
          <w:i w:val="false"/>
          <w:iCs w:val="false"/>
          <w:color w:val="1A202C"/>
          <w:sz w:val="20"/>
          <w:szCs w:val="20"/>
        </w:rPr>
        <w:t xml:space="preserve">A: Internet is required for: (1) GEE script execution (Tool 5), (2) Leaflet basemap first load (Tool 14). All local analyses (ATDI, CI, dossier generation) work fully offline.</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Q: Can I add my own basins?</w:t>
      </w:r>
    </w:p>
    <w:p>
      <w:pPr>
        <w:spacing w:after="85" w:before="0"/>
        <w:jc w:val="left"/>
      </w:pPr>
      <w:r>
        <w:rPr>
          <w:rFonts w:ascii="Arial" w:cs="Arial" w:eastAsia="Arial" w:hAnsi="Arial"/>
          <w:b w:val="false"/>
          <w:bCs w:val="false"/>
          <w:i w:val="false"/>
          <w:iCs w:val="false"/>
          <w:color w:val="1A202C"/>
          <w:sz w:val="20"/>
          <w:szCs w:val="20"/>
        </w:rPr>
        <w:t xml:space="preserve">A: Yes. See Chapter 12.3 for the complete step-by-step guide to adding custom basins to basins_50.json.</w:t>
      </w:r>
    </w:p>
    <w:p>
      <w:pPr>
        <w:spacing w:after="80"/>
      </w:pPr>
      <w:r>
        <w:t xml:space="preserve"/>
      </w:r>
    </w:p>
    <w:p>
      <w:pPr>
        <w:pStyle w:val="Heading1"/>
        <w:pageBreakBefore/>
        <w:pBdr>
          <w:bottom w:val="single" w:color="0E6B6A" w:sz="6"/>
        </w:pBdr>
        <w:shd w:fill="061F4A" w:val="clear"/>
        <w:spacing w:after="200" w:before="0"/>
        <w:ind w:left="260"/>
      </w:pPr>
      <w:r>
        <w:rPr>
          <w:rFonts w:ascii="Arial" w:cs="Arial" w:eastAsia="Arial" w:hAnsi="Arial"/>
          <w:b/>
          <w:bCs/>
          <w:i w:val="false"/>
          <w:iCs w:val="false"/>
          <w:color w:val="FFFFFF"/>
          <w:sz w:val="28"/>
          <w:szCs w:val="28"/>
        </w:rPr>
        <w:t xml:space="preserve">Chapter 10 -- Citation &amp; References</w:t>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10.1  Primary Citation (BibTeX)</w:t>
      </w:r>
    </w:p>
    <w:p>
      <w:pPr>
        <w:pBdr>
          <w:top w:val="nil"/>
          <w:left w:val="thick" w:color="0B3D8E" w:sz="16"/>
          <w:bottom w:val="nil"/>
          <w:right w:val="nil"/>
        </w:pBdr>
        <w:shd w:fill="EDF2F7" w:val="clear"/>
        <w:spacing w:after="0" w:before="60"/>
        <w:ind w:left="280"/>
      </w:pPr>
      <w:r>
        <w:rPr>
          <w:rFonts w:ascii="Courier New" w:cs="Courier New" w:eastAsia="Courier New" w:hAnsi="Courier New"/>
          <w:color w:val="1A365D"/>
          <w:sz w:val="18"/>
          <w:szCs w:val="18"/>
        </w:rPr>
        <w:t xml:space="preserve">@software{alkedir2026hsae_qgis,</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author    = {Alkedir, Seifeldin M.G.},</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title     = {{HydroSovereign AI Engine QGIS Plugin v6.0.3}},</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year      = {2026},</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publisher = {QGIS Plugin Repository},</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version   = {6.0.3},</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note      = {Plugin ID: 5040. Security: 0 critical. Approved April 21, 2026.},</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url       = {https://plugins.qgis.org/plugins/hsae_qgis/},</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doi       = {10.5281/zenodo.19180160},</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orcid     = {0000-0003-0821-2991}</w:t>
      </w:r>
    </w:p>
    <w:p>
      <w:pPr>
        <w:pBdr>
          <w:top w:val="nil"/>
          <w:left w:val="thick" w:color="0B3D8E" w:sz="16"/>
          <w:bottom w:val="nil"/>
          <w:right w:val="nil"/>
        </w:pBdr>
        <w:shd w:fill="EDF2F7" w:val="clear"/>
        <w:spacing w:after="60" w:before="0"/>
        <w:ind w:left="280"/>
      </w:pPr>
      <w:r>
        <w:rPr>
          <w:rFonts w:ascii="Courier New" w:cs="Courier New" w:eastAsia="Courier New" w:hAnsi="Courier New"/>
          <w:color w:val="1A365D"/>
          <w:sz w:val="18"/>
          <w:szCs w:val="18"/>
        </w:rPr>
        <w:t xml:space="preserve">}</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10.2  SoftwareX Paper</w:t>
      </w:r>
    </w:p>
    <w:p>
      <w:pPr>
        <w:spacing w:after="85" w:before="0"/>
        <w:jc w:val="left"/>
      </w:pPr>
      <w:r>
        <w:rPr>
          <w:rFonts w:ascii="Arial" w:cs="Arial" w:eastAsia="Arial" w:hAnsi="Arial"/>
          <w:b w:val="false"/>
          <w:bCs w:val="false"/>
          <w:i w:val="false"/>
          <w:iCs w:val="false"/>
          <w:color w:val="1A202C"/>
          <w:sz w:val="20"/>
          <w:szCs w:val="20"/>
        </w:rPr>
        <w:t xml:space="preserve">Alkedir, S.M.G. (2026). HydroSovereign AI Engine (HSAE) v6.01. SoftwareX (under review, SOFTX-D-26-00442). DOI: 10.5281/zenodo.19180160</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10.3  Key Scientific References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000"/>
        <w:gridCol w:w="5000"/>
      </w:tblGrid>
      <w:tr>
        <w:trPr>
          <w:tblHeader/>
        </w:trPr>
        <w:tc>
          <w:tcPr>
            <w:tcW w:type="dxa" w:w="4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Reference</w:t>
            </w:r>
          </w:p>
        </w:tc>
        <w:tc>
          <w:tcPr>
            <w:tcW w:type="dxa" w:w="5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Relevance to HSAE</w:t>
            </w:r>
          </w:p>
        </w:tc>
      </w:tr>
      <w:tr>
        <w:trPr>
          <w:tblHeader w:val="false"/>
        </w:trPr>
        <w:tc>
          <w:tcPr>
            <w:tcW w:type="dxa" w:w="4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Nash &amp; Sutcliffe (1970). J. Hydrology, 10(3), 282-290</w:t>
            </w:r>
          </w:p>
        </w:tc>
        <w:tc>
          <w:tcPr>
            <w:tcW w:type="dxa" w:w="5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NSE formula (Formula 5 in Ch.7.2)</w:t>
            </w:r>
          </w:p>
        </w:tc>
      </w:tr>
      <w:tr>
        <w:trPr>
          <w:tblHeader w:val="false"/>
        </w:trPr>
        <w:tc>
          <w:tcPr>
            <w:tcW w:type="dxa" w:w="4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Moriasi et al. (2007). Trans. ASABE, 50(3), 885-900</w:t>
            </w:r>
          </w:p>
        </w:tc>
        <w:tc>
          <w:tcPr>
            <w:tcW w:type="dxa" w:w="5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Performance thresholds NSE/KGE</w:t>
            </w:r>
          </w:p>
        </w:tc>
      </w:tr>
      <w:tr>
        <w:trPr>
          <w:tblHeader w:val="false"/>
        </w:trPr>
        <w:tc>
          <w:tcPr>
            <w:tcW w:type="dxa" w:w="4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Bergstrom, S. (1992). SMHI Reports Hydrology No.4</w:t>
            </w:r>
          </w:p>
        </w:tc>
        <w:tc>
          <w:tcPr>
            <w:tcW w:type="dxa" w:w="5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HBV-96 model structure (Formula 7)</w:t>
            </w:r>
          </w:p>
        </w:tc>
      </w:tr>
      <w:tr>
        <w:trPr>
          <w:tblHeader w:val="false"/>
        </w:trPr>
        <w:tc>
          <w:tcPr>
            <w:tcW w:type="dxa" w:w="4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Duan et al. (1993). Water Res. Research, 28(4), 1015-1031</w:t>
            </w:r>
          </w:p>
        </w:tc>
        <w:tc>
          <w:tcPr>
            <w:tcW w:type="dxa" w:w="5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SCE-UA calibration algorithm</w:t>
            </w:r>
          </w:p>
        </w:tc>
      </w:tr>
      <w:tr>
        <w:trPr>
          <w:tblHeader w:val="false"/>
        </w:trPr>
        <w:tc>
          <w:tcPr>
            <w:tcW w:type="dxa" w:w="4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Saltelli et al. (2010). Computer Physics Comm., 181, 259-270</w:t>
            </w:r>
          </w:p>
        </w:tc>
        <w:tc>
          <w:tcPr>
            <w:tcW w:type="dxa" w:w="5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Sobol sensitivity (Formula 8)</w:t>
            </w:r>
          </w:p>
        </w:tc>
      </w:tr>
      <w:tr>
        <w:trPr>
          <w:tblHeader w:val="false"/>
        </w:trPr>
        <w:tc>
          <w:tcPr>
            <w:tcW w:type="dxa" w:w="4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Huffman et al. (2023). GPM IMERG V07</w:t>
            </w:r>
          </w:p>
        </w:tc>
        <w:tc>
          <w:tcPr>
            <w:tcW w:type="dxa" w:w="5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GPM precipitation data</w:t>
            </w:r>
          </w:p>
        </w:tc>
      </w:tr>
      <w:tr>
        <w:trPr>
          <w:tblHeader w:val="false"/>
        </w:trPr>
        <w:tc>
          <w:tcPr>
            <w:tcW w:type="dxa" w:w="4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Landerer et al. (2020). GRL, 47(12), e2020GL088306</w:t>
            </w:r>
          </w:p>
        </w:tc>
        <w:tc>
          <w:tcPr>
            <w:tcW w:type="dxa" w:w="5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GRACE-FO TWS data</w:t>
            </w:r>
          </w:p>
        </w:tc>
      </w:tr>
      <w:tr>
        <w:trPr>
          <w:tblHeader w:val="false"/>
        </w:trPr>
        <w:tc>
          <w:tcPr>
            <w:tcW w:type="dxa" w:w="4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United Nations (1997). UNWC. UN Doc. A/51/869</w:t>
            </w:r>
          </w:p>
        </w:tc>
        <w:tc>
          <w:tcPr>
            <w:tcW w:type="dxa" w:w="5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UNWC 1997 legal framework</w:t>
            </w:r>
          </w:p>
        </w:tc>
      </w:tr>
      <w:tr>
        <w:trPr>
          <w:tblHeader w:val="false"/>
        </w:trPr>
        <w:tc>
          <w:tcPr>
            <w:tcW w:type="dxa" w:w="4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Gorelick et al. (2017). Remote Sensing Env., 202, 18-27</w:t>
            </w:r>
          </w:p>
        </w:tc>
        <w:tc>
          <w:tcPr>
            <w:tcW w:type="dxa" w:w="5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Google Earth Engine platform</w:t>
            </w:r>
          </w:p>
        </w:tc>
      </w:tr>
    </w:tbl>
    <w:p>
      <w:pPr>
        <w:spacing w:after="80"/>
      </w:pPr>
      <w:r>
        <w:t xml:space="preserve"/>
      </w:r>
    </w:p>
    <w:p>
      <w:pPr>
        <w:pStyle w:val="Heading1"/>
        <w:pageBreakBefore/>
        <w:pBdr>
          <w:bottom w:val="single" w:color="0E6B6A" w:sz="6"/>
        </w:pBdr>
        <w:shd w:fill="061F4A" w:val="clear"/>
        <w:spacing w:after="200" w:before="0"/>
        <w:ind w:left="260"/>
      </w:pPr>
      <w:r>
        <w:rPr>
          <w:rFonts w:ascii="Arial" w:cs="Arial" w:eastAsia="Arial" w:hAnsi="Arial"/>
          <w:b/>
          <w:bCs/>
          <w:i w:val="false"/>
          <w:iCs w:val="false"/>
          <w:color w:val="FFFFFF"/>
          <w:sz w:val="28"/>
          <w:szCs w:val="28"/>
        </w:rPr>
        <w:t xml:space="preserve">Chapter 11 -- QGIS Desktop Step-by-Step Workflow</w:t>
      </w:r>
    </w:p>
    <w:p>
      <w:pPr>
        <w:spacing w:after="85" w:before="0"/>
        <w:jc w:val="left"/>
      </w:pPr>
      <w:r>
        <w:rPr>
          <w:rFonts w:ascii="Arial" w:cs="Arial" w:eastAsia="Arial" w:hAnsi="Arial"/>
          <w:b/>
          <w:bCs/>
          <w:i w:val="false"/>
          <w:iCs w:val="false"/>
          <w:color w:val="061F4A"/>
          <w:sz w:val="20"/>
          <w:szCs w:val="20"/>
        </w:rPr>
        <w:t xml:space="preserve">Operating Guide: </w:t>
      </w:r>
      <w:r>
        <w:rPr>
          <w:rFonts w:ascii="Arial" w:cs="Arial" w:eastAsia="Arial" w:hAnsi="Arial"/>
          <w:b w:val="false"/>
          <w:bCs w:val="false"/>
          <w:i w:val="false"/>
          <w:iCs w:val="false"/>
          <w:color w:val="1A202C"/>
          <w:sz w:val="20"/>
          <w:szCs w:val="20"/>
        </w:rPr>
        <w:t xml:space="preserve">From Installation to ICJ Dossier Export (v6.0.3 -- 19 Steps, 16 Tools)</w:t>
      </w:r>
    </w:p>
    <w:p>
      <w:pPr>
        <w:pBdr>
          <w:top w:val="nil"/>
          <w:left w:val="thick" w:color="553C9A" w:sz="18"/>
          <w:bottom w:val="nil"/>
          <w:right w:val="nil"/>
        </w:pBdr>
        <w:shd w:fill="FAF5FF" w:val="clear"/>
        <w:spacing w:after="60" w:before="60"/>
        <w:ind w:left="280"/>
        <w:jc w:val="left"/>
      </w:pPr>
      <w:r>
        <w:rPr>
          <w:rFonts w:ascii="Arial" w:cs="Arial" w:eastAsia="Arial" w:hAnsi="Arial"/>
          <w:b w:val="false"/>
          <w:bCs w:val="false"/>
          <w:i w:val="false"/>
          <w:iCs w:val="false"/>
          <w:color w:val="44337A"/>
          <w:sz w:val="19"/>
          <w:szCs w:val="19"/>
        </w:rPr>
        <w:t xml:space="preserve">RESULT: Target: Blue Nile -- ATDI=43.5% -- HIFD=20.0% -- NSE=0.63 -- CI=0.44 -- P(Neg.)=58% -- ATCI=70%</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11.1  Pre-Flight Checklist</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00"/>
        <w:gridCol w:w="2200"/>
        <w:gridCol w:w="4500"/>
        <w:gridCol w:w="1900"/>
      </w:tblGrid>
      <w:tr>
        <w:trPr>
          <w:tblHeader/>
        </w:trPr>
        <w:tc>
          <w:tcPr>
            <w:tcW w:type="dxa" w:w="4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w:t>
            </w:r>
          </w:p>
        </w:tc>
        <w:tc>
          <w:tcPr>
            <w:tcW w:type="dxa" w:w="22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Check</w:t>
            </w:r>
          </w:p>
        </w:tc>
        <w:tc>
          <w:tcPr>
            <w:tcW w:type="dxa" w:w="4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How to Verify</w:t>
            </w:r>
          </w:p>
        </w:tc>
        <w:tc>
          <w:tcPr>
            <w:tcW w:type="dxa" w:w="19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Status</w:t>
            </w:r>
          </w:p>
        </w:tc>
      </w:tr>
      <w:tr>
        <w:trPr>
          <w:tblHeader w:val="false"/>
        </w:trPr>
        <w:tc>
          <w:tcPr>
            <w:tcW w:type="dxa" w:w="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QGIS &gt;= 3.16 installed</w:t>
            </w:r>
          </w:p>
        </w:tc>
        <w:tc>
          <w:tcPr>
            <w:tcW w:type="dxa" w:w="4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Help --&gt; About --&gt; version number</w:t>
            </w:r>
          </w:p>
        </w:tc>
        <w:tc>
          <w:tcPr>
            <w:tcW w:type="dxa" w:w="19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Required</w:t>
            </w:r>
          </w:p>
        </w:tc>
      </w:tr>
      <w:tr>
        <w:trPr>
          <w:tblHeader w:val="false"/>
        </w:trPr>
        <w:tc>
          <w:tcPr>
            <w:tcW w:type="dxa" w:w="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Internet connection active</w:t>
            </w:r>
          </w:p>
        </w:tc>
        <w:tc>
          <w:tcPr>
            <w:tcW w:type="dxa" w:w="4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For GEE scripts + Leaflet basemap</w:t>
            </w:r>
          </w:p>
        </w:tc>
        <w:tc>
          <w:tcPr>
            <w:tcW w:type="dxa" w:w="19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Required</w:t>
            </w:r>
          </w:p>
        </w:tc>
      </w:tr>
      <w:tr>
        <w:trPr>
          <w:tblHeader w:val="false"/>
        </w:trPr>
        <w:tc>
          <w:tcPr>
            <w:tcW w:type="dxa" w:w="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HSAE v6.0.3 plugin ticked</w:t>
            </w:r>
          </w:p>
        </w:tc>
        <w:tc>
          <w:tcPr>
            <w:tcW w:type="dxa" w:w="4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Plugins --&gt; Manage --&gt; HydroSovereign checkmark</w:t>
            </w:r>
          </w:p>
        </w:tc>
        <w:tc>
          <w:tcPr>
            <w:tcW w:type="dxa" w:w="19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Required</w:t>
            </w:r>
          </w:p>
        </w:tc>
      </w:tr>
      <w:tr>
        <w:trPr>
          <w:tblHeader w:val="false"/>
        </w:trPr>
        <w:tc>
          <w:tcPr>
            <w:tcW w:type="dxa" w:w="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Processing plugin enabled</w:t>
            </w:r>
          </w:p>
        </w:tc>
        <w:tc>
          <w:tcPr>
            <w:tcW w:type="dxa" w:w="4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Processing menu visible in menu bar</w:t>
            </w:r>
          </w:p>
        </w:tc>
        <w:tc>
          <w:tcPr>
            <w:tcW w:type="dxa" w:w="19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Required</w:t>
            </w:r>
          </w:p>
        </w:tc>
      </w:tr>
      <w:tr>
        <w:trPr>
          <w:tblHeader w:val="false"/>
        </w:trPr>
        <w:tc>
          <w:tcPr>
            <w:tcW w:type="dxa" w:w="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PyQtWebEngine installed</w:t>
            </w:r>
          </w:p>
        </w:tc>
        <w:tc>
          <w:tcPr>
            <w:tcW w:type="dxa" w:w="4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For Tools 14/15/16: pip install PyQtWebEngine</w:t>
            </w:r>
          </w:p>
        </w:tc>
        <w:tc>
          <w:tcPr>
            <w:tcW w:type="dxa" w:w="19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For Tools 14-16</w:t>
            </w:r>
          </w:p>
        </w:tc>
      </w:tr>
      <w:tr>
        <w:trPr>
          <w:tblHeader w:val="false"/>
        </w:trPr>
        <w:tc>
          <w:tcPr>
            <w:tcW w:type="dxa" w:w="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Output folder created</w:t>
            </w:r>
          </w:p>
        </w:tc>
        <w:tc>
          <w:tcPr>
            <w:tcW w:type="dxa" w:w="4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Desktop/HSAE_Results/ with subfolders</w:t>
            </w:r>
          </w:p>
        </w:tc>
        <w:tc>
          <w:tcPr>
            <w:tcW w:type="dxa" w:w="19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Recommended</w:t>
            </w:r>
          </w:p>
        </w:tc>
      </w:tr>
    </w:tbl>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11.2  Launching QGIS and Activating the Plugin</w:t>
      </w:r>
    </w:p>
    <w:p>
      <w:pPr>
        <w:pStyle w:val="Heading3"/>
        <w:spacing w:after="60" w:before="130"/>
      </w:pPr>
      <w:r>
        <w:rPr>
          <w:rFonts w:ascii="Arial" w:cs="Arial" w:eastAsia="Arial" w:hAnsi="Arial"/>
          <w:b/>
          <w:bCs/>
          <w:i w:val="false"/>
          <w:iCs w:val="false"/>
          <w:color w:val="0E6B6A"/>
          <w:sz w:val="20"/>
          <w:szCs w:val="20"/>
        </w:rPr>
        <w:t xml:space="preserve">Verifying the Plugin</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Launch QGIS. Wait for full load.</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Check menu bar: HydroSovereign AI Engine v6.0.3 should appear between Plugins and Help.</w:t>
      </w:r>
    </w:p>
    <w:p>
      <w:pPr>
        <w:shd w:fill="F7FAFC" w:val="clear"/>
        <w:spacing w:after="55" w:before="35"/>
        <w:ind w:left="160"/>
        <w:jc w:val="left"/>
      </w:pPr>
      <w:r>
        <w:rPr>
          <w:rFonts w:ascii="Arial" w:cs="Arial" w:eastAsia="Arial" w:hAnsi="Arial"/>
          <w:b/>
          <w:bCs/>
          <w:i w:val="false"/>
          <w:iCs w:val="false"/>
          <w:color w:val="0E6B6A"/>
          <w:sz w:val="20"/>
          <w:szCs w:val="20"/>
        </w:rPr>
        <w:t xml:space="preserve">Step 3:  </w:t>
      </w:r>
      <w:r>
        <w:rPr>
          <w:rFonts w:ascii="Arial" w:cs="Arial" w:eastAsia="Arial" w:hAnsi="Arial"/>
          <w:b w:val="false"/>
          <w:bCs w:val="false"/>
          <w:i w:val="false"/>
          <w:iCs w:val="false"/>
          <w:color w:val="1A202C"/>
          <w:sz w:val="20"/>
          <w:szCs w:val="20"/>
        </w:rPr>
        <w:t xml:space="preserve">[object Object],[object Object]</w:t>
      </w:r>
    </w:p>
    <w:p>
      <w:pPr>
        <w:shd w:fill="F7FAFC" w:val="clear"/>
        <w:spacing w:after="55" w:before="35"/>
        <w:ind w:left="160"/>
        <w:jc w:val="left"/>
      </w:pPr>
      <w:r>
        <w:rPr>
          <w:rFonts w:ascii="Arial" w:cs="Arial" w:eastAsia="Arial" w:hAnsi="Arial"/>
          <w:b/>
          <w:bCs/>
          <w:i w:val="false"/>
          <w:iCs w:val="false"/>
          <w:color w:val="0E6B6A"/>
          <w:sz w:val="20"/>
          <w:szCs w:val="20"/>
        </w:rPr>
        <w:t xml:space="preserve">Step 4:  </w:t>
      </w:r>
      <w:r>
        <w:rPr>
          <w:rFonts w:ascii="Arial" w:cs="Arial" w:eastAsia="Arial" w:hAnsi="Arial"/>
          <w:b w:val="false"/>
          <w:bCs w:val="false"/>
          <w:i w:val="false"/>
          <w:iCs w:val="false"/>
          <w:color w:val="1A202C"/>
          <w:sz w:val="20"/>
          <w:szCs w:val="20"/>
        </w:rPr>
        <w:t xml:space="preserve">Verify HSAE toolbar: 11 buttons visible in toolbar area.</w:t>
      </w:r>
    </w:p>
    <w:p>
      <w:pPr>
        <w:shd w:fill="F7FAFC" w:val="clear"/>
        <w:spacing w:after="55" w:before="35"/>
        <w:ind w:left="160"/>
        <w:jc w:val="left"/>
      </w:pPr>
      <w:r>
        <w:rPr>
          <w:rFonts w:ascii="Arial" w:cs="Arial" w:eastAsia="Arial" w:hAnsi="Arial"/>
          <w:b/>
          <w:bCs/>
          <w:i w:val="false"/>
          <w:iCs w:val="false"/>
          <w:color w:val="0E6B6A"/>
          <w:sz w:val="20"/>
          <w:szCs w:val="20"/>
        </w:rPr>
        <w:t xml:space="preserve">Step 5:  </w:t>
      </w:r>
      <w:r>
        <w:rPr>
          <w:rFonts w:ascii="Arial" w:cs="Arial" w:eastAsia="Arial" w:hAnsi="Arial"/>
          <w:b w:val="false"/>
          <w:bCs w:val="false"/>
          <w:i w:val="false"/>
          <w:iCs w:val="false"/>
          <w:color w:val="1A202C"/>
          <w:sz w:val="20"/>
          <w:szCs w:val="20"/>
        </w:rPr>
        <w:t xml:space="preserve">[object Object],[object Object]</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Project Setup</w:t>
      </w:r>
    </w:p>
    <w:p>
      <w:pPr>
        <w:shd w:fill="F7FAFC" w:val="clear"/>
        <w:spacing w:after="55" w:before="35"/>
        <w:ind w:left="160"/>
        <w:jc w:val="left"/>
      </w:pPr>
      <w:r>
        <w:rPr>
          <w:rFonts w:ascii="Arial" w:cs="Arial" w:eastAsia="Arial" w:hAnsi="Arial"/>
          <w:b/>
          <w:bCs/>
          <w:i w:val="false"/>
          <w:iCs w:val="false"/>
          <w:color w:val="0E6B6A"/>
          <w:sz w:val="20"/>
          <w:szCs w:val="20"/>
        </w:rPr>
        <w:t xml:space="preserve">Step 6:  </w:t>
      </w:r>
      <w:r>
        <w:rPr>
          <w:rFonts w:ascii="Arial" w:cs="Arial" w:eastAsia="Arial" w:hAnsi="Arial"/>
          <w:b w:val="false"/>
          <w:bCs w:val="false"/>
          <w:i w:val="false"/>
          <w:iCs w:val="false"/>
          <w:color w:val="1A202C"/>
          <w:sz w:val="20"/>
          <w:szCs w:val="20"/>
        </w:rPr>
        <w:t xml:space="preserve">File --&gt; New Project (Ctrl+N).</w:t>
      </w:r>
    </w:p>
    <w:p>
      <w:pPr>
        <w:shd w:fill="F7FAFC" w:val="clear"/>
        <w:spacing w:after="55" w:before="35"/>
        <w:ind w:left="160"/>
        <w:jc w:val="left"/>
      </w:pPr>
      <w:r>
        <w:rPr>
          <w:rFonts w:ascii="Arial" w:cs="Arial" w:eastAsia="Arial" w:hAnsi="Arial"/>
          <w:b/>
          <w:bCs/>
          <w:i w:val="false"/>
          <w:iCs w:val="false"/>
          <w:color w:val="0E6B6A"/>
          <w:sz w:val="20"/>
          <w:szCs w:val="20"/>
        </w:rPr>
        <w:t xml:space="preserve">Step 7:  </w:t>
      </w:r>
      <w:r>
        <w:rPr>
          <w:rFonts w:ascii="Arial" w:cs="Arial" w:eastAsia="Arial" w:hAnsi="Arial"/>
          <w:b w:val="false"/>
          <w:bCs w:val="false"/>
          <w:i w:val="false"/>
          <w:iCs w:val="false"/>
          <w:color w:val="1A202C"/>
          <w:sz w:val="20"/>
          <w:szCs w:val="20"/>
        </w:rPr>
        <w:t xml:space="preserve">Project --&gt; Properties --&gt; CRS --&gt; select EPSG:4326 (WGS 84) --&gt; OK.</w:t>
      </w:r>
    </w:p>
    <w:p>
      <w:pPr>
        <w:shd w:fill="F7FAFC" w:val="clear"/>
        <w:spacing w:after="55" w:before="35"/>
        <w:ind w:left="160"/>
        <w:jc w:val="left"/>
      </w:pPr>
      <w:r>
        <w:rPr>
          <w:rFonts w:ascii="Arial" w:cs="Arial" w:eastAsia="Arial" w:hAnsi="Arial"/>
          <w:b/>
          <w:bCs/>
          <w:i w:val="false"/>
          <w:iCs w:val="false"/>
          <w:color w:val="0E6B6A"/>
          <w:sz w:val="20"/>
          <w:szCs w:val="20"/>
        </w:rPr>
        <w:t xml:space="preserve">Step 8:  </w:t>
      </w:r>
      <w:r>
        <w:rPr>
          <w:rFonts w:ascii="Arial" w:cs="Arial" w:eastAsia="Arial" w:hAnsi="Arial"/>
          <w:b w:val="false"/>
          <w:bCs w:val="false"/>
          <w:i w:val="false"/>
          <w:iCs w:val="false"/>
          <w:color w:val="1A202C"/>
          <w:sz w:val="20"/>
          <w:szCs w:val="20"/>
        </w:rPr>
        <w:t xml:space="preserve">File --&gt; Save As --&gt; Desktop/HSAE_Results/ --&gt; name: HSAE_BlueNile_Analysis.qgz --&gt; Save.</w:t>
      </w:r>
    </w:p>
    <w:p>
      <w:pPr>
        <w:pBdr>
          <w:top w:val="nil"/>
          <w:left w:val="thick" w:color="0B3D8E" w:sz="18"/>
          <w:bottom w:val="nil"/>
          <w:right w:val="nil"/>
        </w:pBdr>
        <w:shd w:fill="EBF4FF" w:val="clear"/>
        <w:spacing w:after="60" w:before="60"/>
        <w:ind w:left="280"/>
        <w:jc w:val="left"/>
      </w:pPr>
      <w:r>
        <w:rPr>
          <w:rFonts w:ascii="Arial" w:cs="Arial" w:eastAsia="Arial" w:hAnsi="Arial"/>
          <w:b w:val="false"/>
          <w:bCs w:val="false"/>
          <w:i w:val="false"/>
          <w:iCs w:val="false"/>
          <w:color w:val="1A365D"/>
          <w:sz w:val="19"/>
          <w:szCs w:val="19"/>
        </w:rPr>
        <w:t xml:space="preserve">NOTE:   Save regularly with Ctrl+S throughout your analysis session.</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11.3  Complete 16-Tool Workflow -- Step-by-Step</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500"/>
        <w:gridCol w:w="2500"/>
        <w:gridCol w:w="3800"/>
        <w:gridCol w:w="2200"/>
      </w:tblGrid>
      <w:tr>
        <w:trPr>
          <w:tblHeader/>
        </w:trPr>
        <w:tc>
          <w:tcPr>
            <w:tcW w:type="dxa" w:w="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Order</w:t>
            </w:r>
          </w:p>
        </w:tc>
        <w:tc>
          <w:tcPr>
            <w:tcW w:type="dxa" w:w="2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Tool</w:t>
            </w:r>
          </w:p>
        </w:tc>
        <w:tc>
          <w:tcPr>
            <w:tcW w:type="dxa" w:w="38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Purpose</w:t>
            </w:r>
          </w:p>
        </w:tc>
        <w:tc>
          <w:tcPr>
            <w:tcW w:type="dxa" w:w="22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Time</w:t>
            </w:r>
          </w:p>
        </w:tc>
      </w:tr>
      <w:tr>
        <w:trPr>
          <w:tblHeader w:val="false"/>
        </w:trPr>
        <w:tc>
          <w:tcPr>
            <w:tcW w:type="dxa" w:w="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Load Basin Registry</w:t>
            </w:r>
          </w:p>
        </w:tc>
        <w:tc>
          <w:tcPr>
            <w:tcW w:type="dxa" w:w="3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Load 26 basins as QGIS layer</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 sec</w:t>
            </w:r>
          </w:p>
        </w:tc>
      </w:tr>
      <w:tr>
        <w:trPr>
          <w:tblHeader w:val="false"/>
        </w:trPr>
        <w:tc>
          <w:tcPr>
            <w:tcW w:type="dxa" w:w="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ATDI Visualiser</w:t>
            </w:r>
          </w:p>
        </w:tc>
        <w:tc>
          <w:tcPr>
            <w:tcW w:type="dxa" w:w="3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Colour basins by risk</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 sec</w:t>
            </w:r>
          </w:p>
        </w:tc>
      </w:tr>
      <w:tr>
        <w:trPr>
          <w:tblHeader w:val="false"/>
        </w:trPr>
        <w:tc>
          <w:tcPr>
            <w:tcW w:type="dxa" w:w="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UNWC Legal Layer</w:t>
            </w:r>
          </w:p>
        </w:tc>
        <w:tc>
          <w:tcPr>
            <w:tcW w:type="dxa" w:w="3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Treaty compliance layer</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 sec</w:t>
            </w:r>
          </w:p>
        </w:tc>
      </w:tr>
      <w:tr>
        <w:trPr>
          <w:tblHeader w:val="false"/>
        </w:trPr>
        <w:tc>
          <w:tcPr>
            <w:tcW w:type="dxa" w:w="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GRDC Stations</w:t>
            </w:r>
          </w:p>
        </w:tc>
        <w:tc>
          <w:tcPr>
            <w:tcW w:type="dxa" w:w="3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Discharge stations</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 sec</w:t>
            </w:r>
          </w:p>
        </w:tc>
      </w:tr>
      <w:tr>
        <w:trPr>
          <w:tblHeader w:val="false"/>
        </w:trPr>
        <w:tc>
          <w:tcPr>
            <w:tcW w:type="dxa" w:w="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GEE Script Generator</w:t>
            </w:r>
          </w:p>
        </w:tc>
        <w:tc>
          <w:tcPr>
            <w:tcW w:type="dxa" w:w="3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9+ satellite scripts</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 min</w:t>
            </w:r>
          </w:p>
        </w:tc>
      </w:tr>
      <w:tr>
        <w:trPr>
          <w:tblHeader w:val="false"/>
        </w:trPr>
        <w:tc>
          <w:tcPr>
            <w:tcW w:type="dxa" w:w="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Dashboard Dialog</w:t>
            </w:r>
          </w:p>
        </w:tc>
        <w:tc>
          <w:tcPr>
            <w:tcW w:type="dxa" w:w="3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Per-basin analysis</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 min</w:t>
            </w:r>
          </w:p>
        </w:tc>
      </w:tr>
      <w:tr>
        <w:trPr>
          <w:tblHeader w:val="false"/>
        </w:trPr>
        <w:tc>
          <w:tcPr>
            <w:tcW w:type="dxa" w:w="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Conflict Index</w:t>
            </w:r>
          </w:p>
        </w:tc>
        <w:tc>
          <w:tcPr>
            <w:tcW w:type="dxa" w:w="3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26 basins ranked</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10 sec</w:t>
            </w:r>
          </w:p>
        </w:tc>
      </w:tr>
      <w:tr>
        <w:trPr>
          <w:tblHeader w:val="false"/>
        </w:trPr>
        <w:tc>
          <w:tcPr>
            <w:tcW w:type="dxa" w:w="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8</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Negotiation AI</w:t>
            </w:r>
          </w:p>
        </w:tc>
        <w:tc>
          <w:tcPr>
            <w:tcW w:type="dxa" w:w="3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P(success) + strategy</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30 sec</w:t>
            </w:r>
          </w:p>
        </w:tc>
      </w:tr>
      <w:tr>
        <w:trPr>
          <w:tblHeader w:val="false"/>
        </w:trPr>
        <w:tc>
          <w:tcPr>
            <w:tcW w:type="dxa" w:w="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9</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WebGIS Map</w:t>
            </w:r>
          </w:p>
        </w:tc>
        <w:tc>
          <w:tcPr>
            <w:tcW w:type="dxa" w:w="3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Offline HTML map</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15 sec</w:t>
            </w:r>
          </w:p>
        </w:tc>
      </w:tr>
      <w:tr>
        <w:trPr>
          <w:tblHeader w:val="false"/>
        </w:trPr>
        <w:tc>
          <w:tcPr>
            <w:tcW w:type="dxa" w:w="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10</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Export Basin Data</w:t>
            </w:r>
          </w:p>
        </w:tc>
        <w:tc>
          <w:tcPr>
            <w:tcW w:type="dxa" w:w="3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GeoJSON/SHP/CSV</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10 sec</w:t>
            </w:r>
          </w:p>
        </w:tc>
      </w:tr>
      <w:tr>
        <w:trPr>
          <w:tblHeader w:val="false"/>
        </w:trPr>
        <w:tc>
          <w:tcPr>
            <w:tcW w:type="dxa" w:w="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11</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Basin Panel</w:t>
            </w:r>
          </w:p>
        </w:tc>
        <w:tc>
          <w:tcPr>
            <w:tcW w:type="dxa" w:w="3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Dockable dashboard</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 sec</w:t>
            </w:r>
          </w:p>
        </w:tc>
      </w:tr>
      <w:tr>
        <w:trPr>
          <w:tblHeader w:val="false"/>
        </w:trPr>
        <w:tc>
          <w:tcPr>
            <w:tcW w:type="dxa" w:w="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12</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ICJ/PCA Dossier</w:t>
            </w:r>
          </w:p>
        </w:tc>
        <w:tc>
          <w:tcPr>
            <w:tcW w:type="dxa" w:w="3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Legal dossier</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 sec</w:t>
            </w:r>
          </w:p>
        </w:tc>
      </w:tr>
      <w:tr>
        <w:trPr>
          <w:tblHeader w:val="false"/>
        </w:trPr>
        <w:tc>
          <w:tcPr>
            <w:tcW w:type="dxa" w:w="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13</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About HSAE v6.0.3</w:t>
            </w:r>
          </w:p>
        </w:tc>
        <w:tc>
          <w:tcPr>
            <w:tcW w:type="dxa" w:w="3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Plugin info</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 sec</w:t>
            </w:r>
          </w:p>
        </w:tc>
      </w:tr>
      <w:tr>
        <w:trPr>
          <w:tblHeader w:val="false"/>
        </w:trPr>
        <w:tc>
          <w:tcPr>
            <w:tcW w:type="dxa" w:w="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14</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Basin Risk Map [NEW]</w:t>
            </w:r>
          </w:p>
        </w:tc>
        <w:tc>
          <w:tcPr>
            <w:tcW w:type="dxa" w:w="3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Leaflet inside QGIS</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 sec</w:t>
            </w:r>
          </w:p>
        </w:tc>
      </w:tr>
      <w:tr>
        <w:trPr>
          <w:tblHeader w:val="false"/>
        </w:trPr>
        <w:tc>
          <w:tcPr>
            <w:tcW w:type="dxa" w:w="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15</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Uncertainty [NEW]</w:t>
            </w:r>
          </w:p>
        </w:tc>
        <w:tc>
          <w:tcPr>
            <w:tcW w:type="dxa" w:w="3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95% CI + Sobol</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 sec</w:t>
            </w:r>
          </w:p>
        </w:tc>
      </w:tr>
      <w:tr>
        <w:trPr>
          <w:tblHeader w:val="false"/>
        </w:trPr>
        <w:tc>
          <w:tcPr>
            <w:tcW w:type="dxa" w:w="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16</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Treaty ATCI [NEW]</w:t>
            </w:r>
          </w:p>
        </w:tc>
        <w:tc>
          <w:tcPr>
            <w:tcW w:type="dxa" w:w="3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ATCI + 10 articles</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 sec</w:t>
            </w:r>
          </w:p>
        </w:tc>
      </w:tr>
    </w:tbl>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Tool 1 -- Load Basin Registry</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Click toolbar button 1 (Load Basin Registry).</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Layer HSAE Basin Registry (26 basins) appears in Layers panel.</w:t>
      </w:r>
    </w:p>
    <w:p>
      <w:pPr>
        <w:shd w:fill="F7FAFC" w:val="clear"/>
        <w:spacing w:after="55" w:before="35"/>
        <w:ind w:left="160"/>
        <w:jc w:val="left"/>
      </w:pPr>
      <w:r>
        <w:rPr>
          <w:rFonts w:ascii="Arial" w:cs="Arial" w:eastAsia="Arial" w:hAnsi="Arial"/>
          <w:b/>
          <w:bCs/>
          <w:i w:val="false"/>
          <w:iCs w:val="false"/>
          <w:color w:val="0E6B6A"/>
          <w:sz w:val="20"/>
          <w:szCs w:val="20"/>
        </w:rPr>
        <w:t xml:space="preserve">Step 3:  </w:t>
      </w:r>
      <w:r>
        <w:rPr>
          <w:rFonts w:ascii="Arial" w:cs="Arial" w:eastAsia="Arial" w:hAnsi="Arial"/>
          <w:b w:val="false"/>
          <w:bCs w:val="false"/>
          <w:i w:val="false"/>
          <w:iCs w:val="false"/>
          <w:color w:val="1A202C"/>
          <w:sz w:val="20"/>
          <w:szCs w:val="20"/>
        </w:rPr>
        <w:t xml:space="preserve">26 blue point markers appear on world map canvas.</w:t>
      </w:r>
    </w:p>
    <w:p>
      <w:pPr>
        <w:shd w:fill="F7FAFC" w:val="clear"/>
        <w:spacing w:after="55" w:before="35"/>
        <w:ind w:left="160"/>
        <w:jc w:val="left"/>
      </w:pPr>
      <w:r>
        <w:rPr>
          <w:rFonts w:ascii="Arial" w:cs="Arial" w:eastAsia="Arial" w:hAnsi="Arial"/>
          <w:b/>
          <w:bCs/>
          <w:i w:val="false"/>
          <w:iCs w:val="false"/>
          <w:color w:val="0E6B6A"/>
          <w:sz w:val="20"/>
          <w:szCs w:val="20"/>
        </w:rPr>
        <w:t xml:space="preserve">Step 4:  </w:t>
      </w:r>
      <w:r>
        <w:rPr>
          <w:rFonts w:ascii="Arial" w:cs="Arial" w:eastAsia="Arial" w:hAnsi="Arial"/>
          <w:b w:val="false"/>
          <w:bCs w:val="false"/>
          <w:i w:val="false"/>
          <w:iCs w:val="false"/>
          <w:color w:val="1A202C"/>
          <w:sz w:val="20"/>
          <w:szCs w:val="20"/>
        </w:rPr>
        <w:t xml:space="preserve">Right-click layer --&gt; Zoom to Layer.</w:t>
      </w:r>
    </w:p>
    <w:p>
      <w:pPr>
        <w:shd w:fill="F7FAFC" w:val="clear"/>
        <w:spacing w:after="55" w:before="35"/>
        <w:ind w:left="160"/>
        <w:jc w:val="left"/>
      </w:pPr>
      <w:r>
        <w:rPr>
          <w:rFonts w:ascii="Arial" w:cs="Arial" w:eastAsia="Arial" w:hAnsi="Arial"/>
          <w:b/>
          <w:bCs/>
          <w:i w:val="false"/>
          <w:iCs w:val="false"/>
          <w:color w:val="0E6B6A"/>
          <w:sz w:val="20"/>
          <w:szCs w:val="20"/>
        </w:rPr>
        <w:t xml:space="preserve">Step 5:  </w:t>
      </w:r>
      <w:r>
        <w:rPr>
          <w:rFonts w:ascii="Arial" w:cs="Arial" w:eastAsia="Arial" w:hAnsi="Arial"/>
          <w:b w:val="false"/>
          <w:bCs w:val="false"/>
          <w:i w:val="false"/>
          <w:iCs w:val="false"/>
          <w:color w:val="1A202C"/>
          <w:sz w:val="20"/>
          <w:szCs w:val="20"/>
        </w:rPr>
        <w:t xml:space="preserve">Press F6 to open Attribute Table -- inspect ATDI, HIFD, CI, P_negotiation.</w:t>
      </w:r>
    </w:p>
    <w:p>
      <w:pPr>
        <w:pBdr>
          <w:top w:val="nil"/>
          <w:left w:val="thick" w:color="276749" w:sz="18"/>
          <w:bottom w:val="nil"/>
          <w:right w:val="nil"/>
        </w:pBdr>
        <w:shd w:fill="F0FFF4" w:val="clear"/>
        <w:spacing w:after="60" w:before="60"/>
        <w:ind w:left="280"/>
        <w:jc w:val="left"/>
      </w:pPr>
      <w:r>
        <w:rPr>
          <w:rFonts w:ascii="Arial" w:cs="Arial" w:eastAsia="Arial" w:hAnsi="Arial"/>
          <w:b w:val="false"/>
          <w:bCs w:val="false"/>
          <w:i w:val="false"/>
          <w:iCs w:val="false"/>
          <w:color w:val="1C4532"/>
          <w:sz w:val="19"/>
          <w:szCs w:val="19"/>
        </w:rPr>
        <w:t xml:space="preserve">TIP:    Layer uses basins_50.json built into the plugin -- no external download required.</w:t>
      </w:r>
    </w:p>
    <w:p>
      <w:pPr>
        <w:pBdr>
          <w:top w:val="nil"/>
          <w:left w:val="thick" w:color="553C9A" w:sz="18"/>
          <w:bottom w:val="nil"/>
          <w:right w:val="nil"/>
        </w:pBdr>
        <w:shd w:fill="FAF5FF" w:val="clear"/>
        <w:spacing w:after="60" w:before="60"/>
        <w:ind w:left="280"/>
        <w:jc w:val="left"/>
      </w:pPr>
      <w:r>
        <w:rPr>
          <w:rFonts w:ascii="Arial" w:cs="Arial" w:eastAsia="Arial" w:hAnsi="Arial"/>
          <w:b w:val="false"/>
          <w:bCs w:val="false"/>
          <w:i w:val="false"/>
          <w:iCs w:val="false"/>
          <w:color w:val="44337A"/>
          <w:sz w:val="19"/>
          <w:szCs w:val="19"/>
        </w:rPr>
        <w:t xml:space="preserve">RESULT: 26 basins loaded across 7 world regions.</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Tool 2 -- TDI/ATDI Visualiser</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Single-click HSAE Basin Registry in Layers panel (makes it active).</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Click toolbar button 2 (ATDI Visualiser).</w:t>
      </w:r>
    </w:p>
    <w:p>
      <w:pPr>
        <w:shd w:fill="F7FAFC" w:val="clear"/>
        <w:spacing w:after="55" w:before="35"/>
        <w:ind w:left="160"/>
        <w:jc w:val="left"/>
      </w:pPr>
      <w:r>
        <w:rPr>
          <w:rFonts w:ascii="Arial" w:cs="Arial" w:eastAsia="Arial" w:hAnsi="Arial"/>
          <w:b/>
          <w:bCs/>
          <w:i w:val="false"/>
          <w:iCs w:val="false"/>
          <w:color w:val="0E6B6A"/>
          <w:sz w:val="20"/>
          <w:szCs w:val="20"/>
        </w:rPr>
        <w:t xml:space="preserve">Step 3:  </w:t>
      </w:r>
      <w:r>
        <w:rPr>
          <w:rFonts w:ascii="Arial" w:cs="Arial" w:eastAsia="Arial" w:hAnsi="Arial"/>
          <w:b w:val="false"/>
          <w:bCs w:val="false"/>
          <w:i w:val="false"/>
          <w:iCs w:val="false"/>
          <w:color w:val="1A202C"/>
          <w:sz w:val="20"/>
          <w:szCs w:val="20"/>
        </w:rPr>
        <w:t xml:space="preserve">Basins recolour instantly by ATDI risk level.</w:t>
      </w:r>
    </w:p>
    <w:p>
      <w:pPr>
        <w:shd w:fill="F7FAFC" w:val="clear"/>
        <w:spacing w:after="55" w:before="35"/>
        <w:ind w:left="160"/>
        <w:jc w:val="left"/>
      </w:pPr>
      <w:r>
        <w:rPr>
          <w:rFonts w:ascii="Arial" w:cs="Arial" w:eastAsia="Arial" w:hAnsi="Arial"/>
          <w:b/>
          <w:bCs/>
          <w:i w:val="false"/>
          <w:iCs w:val="false"/>
          <w:color w:val="0E6B6A"/>
          <w:sz w:val="20"/>
          <w:szCs w:val="20"/>
        </w:rPr>
        <w:t xml:space="preserve">Step 4:  </w:t>
      </w:r>
      <w:r>
        <w:rPr>
          <w:rFonts w:ascii="Arial" w:cs="Arial" w:eastAsia="Arial" w:hAnsi="Arial"/>
          <w:b w:val="false"/>
          <w:bCs w:val="false"/>
          <w:i w:val="false"/>
          <w:iCs w:val="false"/>
          <w:color w:val="1A202C"/>
          <w:sz w:val="20"/>
          <w:szCs w:val="20"/>
        </w:rPr>
        <w:t xml:space="preserve">Open Layer Styling (F7) to see graduated colour rules.</w:t>
      </w:r>
    </w:p>
    <w:p>
      <w:pPr>
        <w:shd w:fill="F7FAFC" w:val="clear"/>
        <w:spacing w:after="55" w:before="35"/>
        <w:ind w:left="160"/>
        <w:jc w:val="left"/>
      </w:pPr>
      <w:r>
        <w:rPr>
          <w:rFonts w:ascii="Arial" w:cs="Arial" w:eastAsia="Arial" w:hAnsi="Arial"/>
          <w:b/>
          <w:bCs/>
          <w:i w:val="false"/>
          <w:iCs w:val="false"/>
          <w:color w:val="0E6B6A"/>
          <w:sz w:val="20"/>
          <w:szCs w:val="20"/>
        </w:rPr>
        <w:t xml:space="preserve">Step 5:  </w:t>
      </w:r>
      <w:r>
        <w:rPr>
          <w:rFonts w:ascii="Arial" w:cs="Arial" w:eastAsia="Arial" w:hAnsi="Arial"/>
          <w:b w:val="false"/>
          <w:bCs w:val="false"/>
          <w:i w:val="false"/>
          <w:iCs w:val="false"/>
          <w:color w:val="1A202C"/>
          <w:sz w:val="20"/>
          <w:szCs w:val="20"/>
        </w:rPr>
        <w:t xml:space="preserve">Hover over any basin -- tooltip shows name and ATDI value.</w:t>
      </w:r>
    </w:p>
    <w:p>
      <w:pPr>
        <w:pBdr>
          <w:top w:val="nil"/>
          <w:left w:val="thick" w:color="C05621" w:sz="18"/>
          <w:bottom w:val="nil"/>
          <w:right w:val="nil"/>
        </w:pBdr>
        <w:shd w:fill="FFFBEB" w:val="clear"/>
        <w:spacing w:after="60" w:before="60"/>
        <w:ind w:left="280"/>
        <w:jc w:val="left"/>
      </w:pPr>
      <w:r>
        <w:rPr>
          <w:rFonts w:ascii="Arial" w:cs="Arial" w:eastAsia="Arial" w:hAnsi="Arial"/>
          <w:b w:val="false"/>
          <w:bCs w:val="false"/>
          <w:i w:val="false"/>
          <w:iCs w:val="false"/>
          <w:color w:val="7B341E"/>
          <w:sz w:val="19"/>
          <w:szCs w:val="19"/>
        </w:rPr>
        <w:t xml:space="preserve">WARN:   If basins do not recolour, ensure Basin Registry layer is the active selected layer.</w:t>
      </w:r>
    </w:p>
    <w:p>
      <w:pPr>
        <w:pBdr>
          <w:top w:val="nil"/>
          <w:left w:val="thick" w:color="553C9A" w:sz="18"/>
          <w:bottom w:val="nil"/>
          <w:right w:val="nil"/>
        </w:pBdr>
        <w:shd w:fill="FAF5FF" w:val="clear"/>
        <w:spacing w:after="60" w:before="60"/>
        <w:ind w:left="280"/>
        <w:jc w:val="left"/>
      </w:pPr>
      <w:r>
        <w:rPr>
          <w:rFonts w:ascii="Arial" w:cs="Arial" w:eastAsia="Arial" w:hAnsi="Arial"/>
          <w:b w:val="false"/>
          <w:bCs w:val="false"/>
          <w:i w:val="false"/>
          <w:iCs w:val="false"/>
          <w:color w:val="44337A"/>
          <w:sz w:val="19"/>
          <w:szCs w:val="19"/>
        </w:rPr>
        <w:t xml:space="preserve">RESULT: Blue Nile = ORANGE (ATDI 43.5%) -- Article 7 No-Significant-Harm zone.</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Tool 3 -- UNWC Legal Layer</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Click toolbar button 3 (UNWC Legal Layer).</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New layer HSAE UNWC Legal Risk appears above Basin Registry.</w:t>
      </w:r>
    </w:p>
    <w:p>
      <w:pPr>
        <w:shd w:fill="F7FAFC" w:val="clear"/>
        <w:spacing w:after="55" w:before="35"/>
        <w:ind w:left="160"/>
        <w:jc w:val="left"/>
      </w:pPr>
      <w:r>
        <w:rPr>
          <w:rFonts w:ascii="Arial" w:cs="Arial" w:eastAsia="Arial" w:hAnsi="Arial"/>
          <w:b/>
          <w:bCs/>
          <w:i w:val="false"/>
          <w:iCs w:val="false"/>
          <w:color w:val="0E6B6A"/>
          <w:sz w:val="20"/>
          <w:szCs w:val="20"/>
        </w:rPr>
        <w:t xml:space="preserve">Step 3:  </w:t>
      </w:r>
      <w:r>
        <w:rPr>
          <w:rFonts w:ascii="Arial" w:cs="Arial" w:eastAsia="Arial" w:hAnsi="Arial"/>
          <w:b w:val="false"/>
          <w:bCs w:val="false"/>
          <w:i w:val="false"/>
          <w:iCs w:val="false"/>
          <w:color w:val="1A202C"/>
          <w:sz w:val="20"/>
          <w:szCs w:val="20"/>
        </w:rPr>
        <w:t xml:space="preserve">Use Identify tool (I) --&gt; click Blue Nile --&gt; UNWC_Article=Art_7, Risk_Level=MODERATE.</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Tool 4 -- GRDC Stations Overlay</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Click toolbar button 4 (GRDC Stations Overlay).</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Blue triangle markers appear on map.</w:t>
      </w:r>
    </w:p>
    <w:p>
      <w:pPr>
        <w:shd w:fill="F7FAFC" w:val="clear"/>
        <w:spacing w:after="55" w:before="35"/>
        <w:ind w:left="160"/>
        <w:jc w:val="left"/>
      </w:pPr>
      <w:r>
        <w:rPr>
          <w:rFonts w:ascii="Arial" w:cs="Arial" w:eastAsia="Arial" w:hAnsi="Arial"/>
          <w:b/>
          <w:bCs/>
          <w:i w:val="false"/>
          <w:iCs w:val="false"/>
          <w:color w:val="0E6B6A"/>
          <w:sz w:val="20"/>
          <w:szCs w:val="20"/>
        </w:rPr>
        <w:t xml:space="preserve">Step 3:  </w:t>
      </w:r>
      <w:r>
        <w:rPr>
          <w:rFonts w:ascii="Arial" w:cs="Arial" w:eastAsia="Arial" w:hAnsi="Arial"/>
          <w:b w:val="false"/>
          <w:bCs w:val="false"/>
          <w:i w:val="false"/>
          <w:iCs w:val="false"/>
          <w:color w:val="1A202C"/>
          <w:sz w:val="20"/>
          <w:szCs w:val="20"/>
        </w:rPr>
        <w:t xml:space="preserve">Zoom to Blue Nile region to see El Diem station marker.</w:t>
      </w:r>
    </w:p>
    <w:p>
      <w:pPr>
        <w:shd w:fill="F7FAFC" w:val="clear"/>
        <w:spacing w:after="55" w:before="35"/>
        <w:ind w:left="160"/>
        <w:jc w:val="left"/>
      </w:pPr>
      <w:r>
        <w:rPr>
          <w:rFonts w:ascii="Arial" w:cs="Arial" w:eastAsia="Arial" w:hAnsi="Arial"/>
          <w:b/>
          <w:bCs/>
          <w:i w:val="false"/>
          <w:iCs w:val="false"/>
          <w:color w:val="0E6B6A"/>
          <w:sz w:val="20"/>
          <w:szCs w:val="20"/>
        </w:rPr>
        <w:t xml:space="preserve">Step 4:  </w:t>
      </w:r>
      <w:r>
        <w:rPr>
          <w:rFonts w:ascii="Arial" w:cs="Arial" w:eastAsia="Arial" w:hAnsi="Arial"/>
          <w:b w:val="false"/>
          <w:bCs w:val="false"/>
          <w:i w:val="false"/>
          <w:iCs w:val="false"/>
          <w:color w:val="1A202C"/>
          <w:sz w:val="20"/>
          <w:szCs w:val="20"/>
        </w:rPr>
        <w:t xml:space="preserve">Identify (I) --&gt; click El Diem: GRDC_1763100, Area=174,000 km2, Status=RESTRICTED.</w:t>
      </w:r>
    </w:p>
    <w:p>
      <w:pPr>
        <w:pBdr>
          <w:top w:val="nil"/>
          <w:left w:val="thick" w:color="0B3D8E" w:sz="18"/>
          <w:bottom w:val="nil"/>
          <w:right w:val="nil"/>
        </w:pBdr>
        <w:shd w:fill="EBF4FF" w:val="clear"/>
        <w:spacing w:after="60" w:before="60"/>
        <w:ind w:left="280"/>
        <w:jc w:val="left"/>
      </w:pPr>
      <w:r>
        <w:rPr>
          <w:rFonts w:ascii="Arial" w:cs="Arial" w:eastAsia="Arial" w:hAnsi="Arial"/>
          <w:b w:val="false"/>
          <w:bCs w:val="false"/>
          <w:i w:val="false"/>
          <w:iCs w:val="false"/>
          <w:color w:val="1A365D"/>
          <w:sz w:val="19"/>
          <w:szCs w:val="19"/>
        </w:rPr>
        <w:t xml:space="preserve">NOTE:   El Diem restricted -- HSAE uses GloFAS ERA5 v4 proxy (NSE=0.63). GRDC Request 78949 pending.</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Tool 5 -- GEE Script Generator (9+ Sensors)</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Click toolbar button 5 (GEE Script Generator).</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Dialog: select basin = Blue Nile (GERD).</w:t>
      </w:r>
    </w:p>
    <w:p>
      <w:pPr>
        <w:shd w:fill="F7FAFC" w:val="clear"/>
        <w:spacing w:after="55" w:before="35"/>
        <w:ind w:left="160"/>
        <w:jc w:val="left"/>
      </w:pPr>
      <w:r>
        <w:rPr>
          <w:rFonts w:ascii="Arial" w:cs="Arial" w:eastAsia="Arial" w:hAnsi="Arial"/>
          <w:b/>
          <w:bCs/>
          <w:i w:val="false"/>
          <w:iCs w:val="false"/>
          <w:color w:val="0E6B6A"/>
          <w:sz w:val="20"/>
          <w:szCs w:val="20"/>
        </w:rPr>
        <w:t xml:space="preserve">Step 3:  </w:t>
      </w:r>
      <w:r>
        <w:rPr>
          <w:rFonts w:ascii="Arial" w:cs="Arial" w:eastAsia="Arial" w:hAnsi="Arial"/>
          <w:b w:val="false"/>
          <w:bCs w:val="false"/>
          <w:i w:val="false"/>
          <w:iCs w:val="false"/>
          <w:color w:val="1A202C"/>
          <w:sz w:val="20"/>
          <w:szCs w:val="20"/>
        </w:rPr>
        <w:t xml:space="preserve">Select sensor: GPM IMERG V07 --&gt; Generate Script --&gt; Copy to Clipboard.</w:t>
      </w:r>
    </w:p>
    <w:p>
      <w:pPr>
        <w:shd w:fill="F7FAFC" w:val="clear"/>
        <w:spacing w:after="55" w:before="35"/>
        <w:ind w:left="160"/>
        <w:jc w:val="left"/>
      </w:pPr>
      <w:r>
        <w:rPr>
          <w:rFonts w:ascii="Arial" w:cs="Arial" w:eastAsia="Arial" w:hAnsi="Arial"/>
          <w:b/>
          <w:bCs/>
          <w:i w:val="false"/>
          <w:iCs w:val="false"/>
          <w:color w:val="0E6B6A"/>
          <w:sz w:val="20"/>
          <w:szCs w:val="20"/>
        </w:rPr>
        <w:t xml:space="preserve">Step 4:  </w:t>
      </w:r>
      <w:r>
        <w:rPr>
          <w:rFonts w:ascii="Arial" w:cs="Arial" w:eastAsia="Arial" w:hAnsi="Arial"/>
          <w:b w:val="false"/>
          <w:bCs w:val="false"/>
          <w:i w:val="false"/>
          <w:iCs w:val="false"/>
          <w:color w:val="1A202C"/>
          <w:sz w:val="20"/>
          <w:szCs w:val="20"/>
        </w:rPr>
        <w:t xml:space="preserve">Open https://code.earthengine.google.com</w:t>
      </w:r>
    </w:p>
    <w:p>
      <w:pPr>
        <w:shd w:fill="F7FAFC" w:val="clear"/>
        <w:spacing w:after="55" w:before="35"/>
        <w:ind w:left="160"/>
        <w:jc w:val="left"/>
      </w:pPr>
      <w:r>
        <w:rPr>
          <w:rFonts w:ascii="Arial" w:cs="Arial" w:eastAsia="Arial" w:hAnsi="Arial"/>
          <w:b/>
          <w:bCs/>
          <w:i w:val="false"/>
          <w:iCs w:val="false"/>
          <w:color w:val="0E6B6A"/>
          <w:sz w:val="20"/>
          <w:szCs w:val="20"/>
        </w:rPr>
        <w:t xml:space="preserve">Step 5:  </w:t>
      </w:r>
      <w:r>
        <w:rPr>
          <w:rFonts w:ascii="Arial" w:cs="Arial" w:eastAsia="Arial" w:hAnsi="Arial"/>
          <w:b w:val="false"/>
          <w:bCs w:val="false"/>
          <w:i w:val="false"/>
          <w:iCs w:val="false"/>
          <w:color w:val="1A202C"/>
          <w:sz w:val="20"/>
          <w:szCs w:val="20"/>
        </w:rPr>
        <w:t xml:space="preserve">Paste (Ctrl+V) into GEE Code Editor --&gt; Run.</w:t>
      </w:r>
    </w:p>
    <w:p>
      <w:pPr>
        <w:shd w:fill="F7FAFC" w:val="clear"/>
        <w:spacing w:after="55" w:before="35"/>
        <w:ind w:left="160"/>
        <w:jc w:val="left"/>
      </w:pPr>
      <w:r>
        <w:rPr>
          <w:rFonts w:ascii="Arial" w:cs="Arial" w:eastAsia="Arial" w:hAnsi="Arial"/>
          <w:b/>
          <w:bCs/>
          <w:i w:val="false"/>
          <w:iCs w:val="false"/>
          <w:color w:val="0E6B6A"/>
          <w:sz w:val="20"/>
          <w:szCs w:val="20"/>
        </w:rPr>
        <w:t xml:space="preserve">Step 6:  </w:t>
      </w:r>
      <w:r>
        <w:rPr>
          <w:rFonts w:ascii="Arial" w:cs="Arial" w:eastAsia="Arial" w:hAnsi="Arial"/>
          <w:b w:val="false"/>
          <w:bCs w:val="false"/>
          <w:i w:val="false"/>
          <w:iCs w:val="false"/>
          <w:color w:val="1A202C"/>
          <w:sz w:val="20"/>
          <w:szCs w:val="20"/>
        </w:rPr>
        <w:t xml:space="preserve">Precipitation time series for Blue Nile appears in GEE console.</w:t>
      </w:r>
    </w:p>
    <w:p>
      <w:pPr>
        <w:shd w:fill="F7FAFC" w:val="clear"/>
        <w:spacing w:after="55" w:before="35"/>
        <w:ind w:left="160"/>
        <w:jc w:val="left"/>
      </w:pPr>
      <w:r>
        <w:rPr>
          <w:rFonts w:ascii="Arial" w:cs="Arial" w:eastAsia="Arial" w:hAnsi="Arial"/>
          <w:b/>
          <w:bCs/>
          <w:i w:val="false"/>
          <w:iCs w:val="false"/>
          <w:color w:val="0E6B6A"/>
          <w:sz w:val="20"/>
          <w:szCs w:val="20"/>
        </w:rPr>
        <w:t xml:space="preserve">Step 7:  </w:t>
      </w:r>
      <w:r>
        <w:rPr>
          <w:rFonts w:ascii="Arial" w:cs="Arial" w:eastAsia="Arial" w:hAnsi="Arial"/>
          <w:b w:val="false"/>
          <w:bCs w:val="false"/>
          <w:i w:val="false"/>
          <w:iCs w:val="false"/>
          <w:color w:val="1A202C"/>
          <w:sz w:val="20"/>
          <w:szCs w:val="20"/>
        </w:rPr>
        <w:t xml:space="preserve">Repeat for all 9 sensors. Save scripts to Desktop/HSAE_Results/GEE_Scripts/</w:t>
      </w:r>
    </w:p>
    <w:p>
      <w:pPr>
        <w:pBdr>
          <w:top w:val="nil"/>
          <w:left w:val="thick" w:color="276749" w:sz="18"/>
          <w:bottom w:val="nil"/>
          <w:right w:val="nil"/>
        </w:pBdr>
        <w:shd w:fill="F0FFF4" w:val="clear"/>
        <w:spacing w:after="60" w:before="60"/>
        <w:ind w:left="280"/>
        <w:jc w:val="left"/>
      </w:pPr>
      <w:r>
        <w:rPr>
          <w:rFonts w:ascii="Arial" w:cs="Arial" w:eastAsia="Arial" w:hAnsi="Arial"/>
          <w:b w:val="false"/>
          <w:bCs w:val="false"/>
          <w:i w:val="false"/>
          <w:iCs w:val="false"/>
          <w:color w:val="1C4532"/>
          <w:sz w:val="19"/>
          <w:szCs w:val="19"/>
        </w:rPr>
        <w:t xml:space="preserve">TIP:    All 9 scripts run directly in GEE Code Editor without additional setup.</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Tool 6 -- Dashboard Dialog</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Click toolbar button 6 (Dashboard Dialog).</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Select: Blue Nile (GERD, Ethiopia/Sudan/Egypt).</w:t>
      </w:r>
    </w:p>
    <w:p>
      <w:pPr>
        <w:shd w:fill="F7FAFC" w:val="clear"/>
        <w:spacing w:after="55" w:before="35"/>
        <w:ind w:left="160"/>
        <w:jc w:val="left"/>
      </w:pPr>
      <w:r>
        <w:rPr>
          <w:rFonts w:ascii="Arial" w:cs="Arial" w:eastAsia="Arial" w:hAnsi="Arial"/>
          <w:b/>
          <w:bCs/>
          <w:i w:val="false"/>
          <w:iCs w:val="false"/>
          <w:color w:val="0E6B6A"/>
          <w:sz w:val="20"/>
          <w:szCs w:val="20"/>
        </w:rPr>
        <w:t xml:space="preserve">Step 3:  </w:t>
      </w:r>
      <w:r>
        <w:rPr>
          <w:rFonts w:ascii="Arial" w:cs="Arial" w:eastAsia="Arial" w:hAnsi="Arial"/>
          <w:b w:val="false"/>
          <w:bCs w:val="false"/>
          <w:i w:val="false"/>
          <w:iCs w:val="false"/>
          <w:color w:val="1A202C"/>
          <w:sz w:val="20"/>
          <w:szCs w:val="20"/>
        </w:rPr>
        <w:t xml:space="preserve">Dashboard: NSE=0.63, KGE=0.74, ATDI=43.5%, HIFD=20.0%, CI=0.44, P(Neg.)=58%.</w:t>
      </w:r>
    </w:p>
    <w:p>
      <w:pPr>
        <w:shd w:fill="F7FAFC" w:val="clear"/>
        <w:spacing w:after="55" w:before="35"/>
        <w:ind w:left="160"/>
        <w:jc w:val="left"/>
      </w:pPr>
      <w:r>
        <w:rPr>
          <w:rFonts w:ascii="Arial" w:cs="Arial" w:eastAsia="Arial" w:hAnsi="Arial"/>
          <w:b/>
          <w:bCs/>
          <w:i w:val="false"/>
          <w:iCs w:val="false"/>
          <w:color w:val="0E6B6A"/>
          <w:sz w:val="20"/>
          <w:szCs w:val="20"/>
        </w:rPr>
        <w:t xml:space="preserve">Step 4:  </w:t>
      </w:r>
      <w:r>
        <w:rPr>
          <w:rFonts w:ascii="Arial" w:cs="Arial" w:eastAsia="Arial" w:hAnsi="Arial"/>
          <w:b w:val="false"/>
          <w:bCs w:val="false"/>
          <w:i w:val="false"/>
          <w:iCs w:val="false"/>
          <w:color w:val="1A202C"/>
          <w:sz w:val="20"/>
          <w:szCs w:val="20"/>
        </w:rPr>
        <w:t xml:space="preserve">Review triggered UNWC articles: 5, 7, 9, 11, 12, 17, 21.</w:t>
      </w:r>
    </w:p>
    <w:p>
      <w:pPr>
        <w:shd w:fill="F7FAFC" w:val="clear"/>
        <w:spacing w:after="55" w:before="35"/>
        <w:ind w:left="160"/>
        <w:jc w:val="left"/>
      </w:pPr>
      <w:r>
        <w:rPr>
          <w:rFonts w:ascii="Arial" w:cs="Arial" w:eastAsia="Arial" w:hAnsi="Arial"/>
          <w:b/>
          <w:bCs/>
          <w:i w:val="false"/>
          <w:iCs w:val="false"/>
          <w:color w:val="0E6B6A"/>
          <w:sz w:val="20"/>
          <w:szCs w:val="20"/>
        </w:rPr>
        <w:t xml:space="preserve">Step 5:  </w:t>
      </w:r>
      <w:r>
        <w:rPr>
          <w:rFonts w:ascii="Arial" w:cs="Arial" w:eastAsia="Arial" w:hAnsi="Arial"/>
          <w:b w:val="false"/>
          <w:bCs w:val="false"/>
          <w:i w:val="false"/>
          <w:iCs w:val="false"/>
          <w:color w:val="1A202C"/>
          <w:sz w:val="20"/>
          <w:szCs w:val="20"/>
        </w:rPr>
        <w:t xml:space="preserve">Click Export Report --&gt; Desktop/HSAE_Results/Reports/BlueNile_Dashboard.txt</w:t>
      </w:r>
    </w:p>
    <w:p>
      <w:pPr>
        <w:pBdr>
          <w:top w:val="nil"/>
          <w:left w:val="thick" w:color="553C9A" w:sz="18"/>
          <w:bottom w:val="nil"/>
          <w:right w:val="nil"/>
        </w:pBdr>
        <w:shd w:fill="FAF5FF" w:val="clear"/>
        <w:spacing w:after="60" w:before="60"/>
        <w:ind w:left="280"/>
        <w:jc w:val="left"/>
      </w:pPr>
      <w:r>
        <w:rPr>
          <w:rFonts w:ascii="Arial" w:cs="Arial" w:eastAsia="Arial" w:hAnsi="Arial"/>
          <w:b w:val="false"/>
          <w:bCs w:val="false"/>
          <w:i w:val="false"/>
          <w:iCs w:val="false"/>
          <w:color w:val="44337A"/>
          <w:sz w:val="19"/>
          <w:szCs w:val="19"/>
        </w:rPr>
        <w:t xml:space="preserve">RESULT: ATDI=43.5% Art.7 -- HIFD=20.0% -- CI=0.44 HIGH -- P(Neg.)=58% --&gt; Art.17 Mediation</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Tool 7 -- Conflict Index</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Click toolbar button 7 (Conflict Index).</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~10 seconds for all 26 basins. Ranked: Mekong 0.61 CRITICAL, Vakhsh 0.58, Blue Nile 0.44 HIGH.</w:t>
      </w:r>
    </w:p>
    <w:p>
      <w:pPr>
        <w:shd w:fill="F7FAFC" w:val="clear"/>
        <w:spacing w:after="55" w:before="35"/>
        <w:ind w:left="160"/>
        <w:jc w:val="left"/>
      </w:pPr>
      <w:r>
        <w:rPr>
          <w:rFonts w:ascii="Arial" w:cs="Arial" w:eastAsia="Arial" w:hAnsi="Arial"/>
          <w:b/>
          <w:bCs/>
          <w:i w:val="false"/>
          <w:iCs w:val="false"/>
          <w:color w:val="0E6B6A"/>
          <w:sz w:val="20"/>
          <w:szCs w:val="20"/>
        </w:rPr>
        <w:t xml:space="preserve">Step 3:  </w:t>
      </w:r>
      <w:r>
        <w:rPr>
          <w:rFonts w:ascii="Arial" w:cs="Arial" w:eastAsia="Arial" w:hAnsi="Arial"/>
          <w:b w:val="false"/>
          <w:bCs w:val="false"/>
          <w:i w:val="false"/>
          <w:iCs w:val="false"/>
          <w:color w:val="1A202C"/>
          <w:sz w:val="20"/>
          <w:szCs w:val="20"/>
        </w:rPr>
        <w:t xml:space="preserve">Export CSV --&gt; Desktop/HSAE_Results/Reports/ConflictIndex_AllBasins.csv</w:t>
      </w:r>
    </w:p>
    <w:p>
      <w:pPr>
        <w:shd w:fill="F7FAFC" w:val="clear"/>
        <w:spacing w:after="55" w:before="35"/>
        <w:ind w:left="160"/>
        <w:jc w:val="left"/>
      </w:pPr>
      <w:r>
        <w:rPr>
          <w:rFonts w:ascii="Arial" w:cs="Arial" w:eastAsia="Arial" w:hAnsi="Arial"/>
          <w:b/>
          <w:bCs/>
          <w:i w:val="false"/>
          <w:iCs w:val="false"/>
          <w:color w:val="0E6B6A"/>
          <w:sz w:val="20"/>
          <w:szCs w:val="20"/>
        </w:rPr>
        <w:t xml:space="preserve">Step 4:  </w:t>
      </w:r>
      <w:r>
        <w:rPr>
          <w:rFonts w:ascii="Arial" w:cs="Arial" w:eastAsia="Arial" w:hAnsi="Arial"/>
          <w:b w:val="false"/>
          <w:bCs w:val="false"/>
          <w:i w:val="false"/>
          <w:iCs w:val="false"/>
          <w:color w:val="1A202C"/>
          <w:sz w:val="20"/>
          <w:szCs w:val="20"/>
        </w:rPr>
        <w:t xml:space="preserve">Click Add to Map --&gt; graduated CI layer on canvas.</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Tool 8 -- Negotiation AI</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Click toolbar button 8 (Negotiation AI).</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Select: Blue Nile (GERD). Parameters: ATDI=43.5%, n_countries=3, dispute=4, CI=0.44.</w:t>
      </w:r>
    </w:p>
    <w:p>
      <w:pPr>
        <w:shd w:fill="F7FAFC" w:val="clear"/>
        <w:spacing w:after="55" w:before="35"/>
        <w:ind w:left="160"/>
        <w:jc w:val="left"/>
      </w:pPr>
      <w:r>
        <w:rPr>
          <w:rFonts w:ascii="Arial" w:cs="Arial" w:eastAsia="Arial" w:hAnsi="Arial"/>
          <w:b/>
          <w:bCs/>
          <w:i w:val="false"/>
          <w:iCs w:val="false"/>
          <w:color w:val="0E6B6A"/>
          <w:sz w:val="20"/>
          <w:szCs w:val="20"/>
        </w:rPr>
        <w:t xml:space="preserve">Step 3:  </w:t>
      </w:r>
      <w:r>
        <w:rPr>
          <w:rFonts w:ascii="Arial" w:cs="Arial" w:eastAsia="Arial" w:hAnsi="Arial"/>
          <w:b w:val="false"/>
          <w:bCs w:val="false"/>
          <w:i w:val="false"/>
          <w:iCs w:val="false"/>
          <w:color w:val="1A202C"/>
          <w:sz w:val="20"/>
          <w:szCs w:val="20"/>
        </w:rPr>
        <w:t xml:space="preserve">Click Run Prediction. Results in 2-3 seconds.</w:t>
      </w:r>
    </w:p>
    <w:p>
      <w:pPr>
        <w:shd w:fill="F7FAFC" w:val="clear"/>
        <w:spacing w:after="55" w:before="35"/>
        <w:ind w:left="160"/>
        <w:jc w:val="left"/>
      </w:pPr>
      <w:r>
        <w:rPr>
          <w:rFonts w:ascii="Arial" w:cs="Arial" w:eastAsia="Arial" w:hAnsi="Arial"/>
          <w:b/>
          <w:bCs/>
          <w:i w:val="false"/>
          <w:iCs w:val="false"/>
          <w:color w:val="0E6B6A"/>
          <w:sz w:val="20"/>
          <w:szCs w:val="20"/>
        </w:rPr>
        <w:t xml:space="preserve">Step 4:  </w:t>
      </w:r>
      <w:r>
        <w:rPr>
          <w:rFonts w:ascii="Arial" w:cs="Arial" w:eastAsia="Arial" w:hAnsi="Arial"/>
          <w:b w:val="false"/>
          <w:bCs w:val="false"/>
          <w:i w:val="false"/>
          <w:iCs w:val="false"/>
          <w:color w:val="1A202C"/>
          <w:sz w:val="20"/>
          <w:szCs w:val="20"/>
        </w:rPr>
        <w:t xml:space="preserve">P(Success)=58% --&gt; Strategy: Art.17 Third-Party Mediation.</w:t>
      </w:r>
    </w:p>
    <w:p>
      <w:pPr>
        <w:shd w:fill="F7FAFC" w:val="clear"/>
        <w:spacing w:after="55" w:before="35"/>
        <w:ind w:left="160"/>
        <w:jc w:val="left"/>
      </w:pPr>
      <w:r>
        <w:rPr>
          <w:rFonts w:ascii="Arial" w:cs="Arial" w:eastAsia="Arial" w:hAnsi="Arial"/>
          <w:b/>
          <w:bCs/>
          <w:i w:val="false"/>
          <w:iCs w:val="false"/>
          <w:color w:val="0E6B6A"/>
          <w:sz w:val="20"/>
          <w:szCs w:val="20"/>
        </w:rPr>
        <w:t xml:space="preserve">Step 5:  </w:t>
      </w:r>
      <w:r>
        <w:rPr>
          <w:rFonts w:ascii="Arial" w:cs="Arial" w:eastAsia="Arial" w:hAnsi="Arial"/>
          <w:b w:val="false"/>
          <w:bCs w:val="false"/>
          <w:i w:val="false"/>
          <w:iCs w:val="false"/>
          <w:color w:val="1A202C"/>
          <w:sz w:val="20"/>
          <w:szCs w:val="20"/>
        </w:rPr>
        <w:t xml:space="preserve">Click Generate Strategy Report --&gt; Desktop/HSAE_Results/Reports/BlueNile_Strategy.txt</w:t>
      </w:r>
    </w:p>
    <w:p>
      <w:pPr>
        <w:shd w:fill="F7FAFC" w:val="clear"/>
        <w:spacing w:after="55" w:before="35"/>
        <w:ind w:left="160"/>
        <w:jc w:val="left"/>
      </w:pPr>
      <w:r>
        <w:rPr>
          <w:rFonts w:ascii="Arial" w:cs="Arial" w:eastAsia="Arial" w:hAnsi="Arial"/>
          <w:b/>
          <w:bCs/>
          <w:i w:val="false"/>
          <w:iCs w:val="false"/>
          <w:color w:val="0E6B6A"/>
          <w:sz w:val="20"/>
          <w:szCs w:val="20"/>
        </w:rPr>
        <w:t xml:space="preserve">Step 6:  </w:t>
      </w:r>
      <w:r>
        <w:rPr>
          <w:rFonts w:ascii="Arial" w:cs="Arial" w:eastAsia="Arial" w:hAnsi="Arial"/>
          <w:b w:val="false"/>
          <w:bCs w:val="false"/>
          <w:i w:val="false"/>
          <w:iCs w:val="false"/>
          <w:color w:val="1A202C"/>
          <w:sz w:val="20"/>
          <w:szCs w:val="20"/>
        </w:rPr>
        <w:t xml:space="preserve">Try Mekong: P=31% --&gt; PCA Arbitration. Columbia: P=74% --&gt; Direct Negotiation.</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Tool 9 -- WebGIS Map Generator</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Click toolbar button 9 --&gt; save dialog --&gt; Desktop/HSAE_Results/Maps/HSAE_Map.html --&gt; Save.</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~15 seconds processing --&gt; click Open in Browser.</w:t>
      </w:r>
    </w:p>
    <w:p>
      <w:pPr>
        <w:shd w:fill="F7FAFC" w:val="clear"/>
        <w:spacing w:after="55" w:before="35"/>
        <w:ind w:left="160"/>
        <w:jc w:val="left"/>
      </w:pPr>
      <w:r>
        <w:rPr>
          <w:rFonts w:ascii="Arial" w:cs="Arial" w:eastAsia="Arial" w:hAnsi="Arial"/>
          <w:b/>
          <w:bCs/>
          <w:i w:val="false"/>
          <w:iCs w:val="false"/>
          <w:color w:val="0E6B6A"/>
          <w:sz w:val="20"/>
          <w:szCs w:val="20"/>
        </w:rPr>
        <w:t xml:space="preserve">Step 3:  </w:t>
      </w:r>
      <w:r>
        <w:rPr>
          <w:rFonts w:ascii="Arial" w:cs="Arial" w:eastAsia="Arial" w:hAnsi="Arial"/>
          <w:b w:val="false"/>
          <w:bCs w:val="false"/>
          <w:i w:val="false"/>
          <w:iCs w:val="false"/>
          <w:color w:val="1A202C"/>
          <w:sz w:val="20"/>
          <w:szCs w:val="20"/>
        </w:rPr>
        <w:t xml:space="preserve">Browser: click basin points for popups, toggle layers, zoom with mouse wheel.</w:t>
      </w:r>
    </w:p>
    <w:p>
      <w:pPr>
        <w:pBdr>
          <w:top w:val="nil"/>
          <w:left w:val="thick" w:color="0B3D8E" w:sz="18"/>
          <w:bottom w:val="nil"/>
          <w:right w:val="nil"/>
        </w:pBdr>
        <w:shd w:fill="EBF4FF" w:val="clear"/>
        <w:spacing w:after="60" w:before="60"/>
        <w:ind w:left="280"/>
        <w:jc w:val="left"/>
      </w:pPr>
      <w:r>
        <w:rPr>
          <w:rFonts w:ascii="Arial" w:cs="Arial" w:eastAsia="Arial" w:hAnsi="Arial"/>
          <w:b w:val="false"/>
          <w:bCs w:val="false"/>
          <w:i w:val="false"/>
          <w:iCs w:val="false"/>
          <w:color w:val="1A365D"/>
          <w:sz w:val="19"/>
          <w:szCs w:val="19"/>
        </w:rPr>
        <w:t xml:space="preserve">NOTE:   HTML is fully self-contained. Share by email or publish to GitHub Pages.</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Tool 10 -- Export Basin Data</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Click toolbar button 10 (Export Basin Data).</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Choose format: GeoJSON (web), Shapefile (ArcGIS), or CSV (Excel).</w:t>
      </w:r>
    </w:p>
    <w:p>
      <w:pPr>
        <w:shd w:fill="F7FAFC" w:val="clear"/>
        <w:spacing w:after="55" w:before="35"/>
        <w:ind w:left="160"/>
        <w:jc w:val="left"/>
      </w:pPr>
      <w:r>
        <w:rPr>
          <w:rFonts w:ascii="Arial" w:cs="Arial" w:eastAsia="Arial" w:hAnsi="Arial"/>
          <w:b/>
          <w:bCs/>
          <w:i w:val="false"/>
          <w:iCs w:val="false"/>
          <w:color w:val="0E6B6A"/>
          <w:sz w:val="20"/>
          <w:szCs w:val="20"/>
        </w:rPr>
        <w:t xml:space="preserve">Step 3:  </w:t>
      </w:r>
      <w:r>
        <w:rPr>
          <w:rFonts w:ascii="Arial" w:cs="Arial" w:eastAsia="Arial" w:hAnsi="Arial"/>
          <w:b w:val="false"/>
          <w:bCs w:val="false"/>
          <w:i w:val="false"/>
          <w:iCs w:val="false"/>
          <w:color w:val="1A202C"/>
          <w:sz w:val="20"/>
          <w:szCs w:val="20"/>
        </w:rPr>
        <w:t xml:space="preserve">Choose scope: All 26 basins or selected basins only.</w:t>
      </w:r>
    </w:p>
    <w:p>
      <w:pPr>
        <w:shd w:fill="F7FAFC" w:val="clear"/>
        <w:spacing w:after="55" w:before="35"/>
        <w:ind w:left="160"/>
        <w:jc w:val="left"/>
      </w:pPr>
      <w:r>
        <w:rPr>
          <w:rFonts w:ascii="Arial" w:cs="Arial" w:eastAsia="Arial" w:hAnsi="Arial"/>
          <w:b/>
          <w:bCs/>
          <w:i w:val="false"/>
          <w:iCs w:val="false"/>
          <w:color w:val="0E6B6A"/>
          <w:sz w:val="20"/>
          <w:szCs w:val="20"/>
        </w:rPr>
        <w:t xml:space="preserve">Step 4:  </w:t>
      </w:r>
      <w:r>
        <w:rPr>
          <w:rFonts w:ascii="Arial" w:cs="Arial" w:eastAsia="Arial" w:hAnsi="Arial"/>
          <w:b w:val="false"/>
          <w:bCs w:val="false"/>
          <w:i w:val="false"/>
          <w:iCs w:val="false"/>
          <w:color w:val="1A202C"/>
          <w:sz w:val="20"/>
          <w:szCs w:val="20"/>
        </w:rPr>
        <w:t xml:space="preserve">Path: Desktop/HSAE_Results/Exports/ --&gt; Export.</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Tool 11 -- Basin Panel (Dockable)</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Click toolbar button 11 --&gt; dockable panel opens on right.</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Click any basin on map canvas --&gt; panel auto-updates.</w:t>
      </w:r>
    </w:p>
    <w:p>
      <w:pPr>
        <w:shd w:fill="F7FAFC" w:val="clear"/>
        <w:spacing w:after="55" w:before="35"/>
        <w:ind w:left="160"/>
        <w:jc w:val="left"/>
      </w:pPr>
      <w:r>
        <w:rPr>
          <w:rFonts w:ascii="Arial" w:cs="Arial" w:eastAsia="Arial" w:hAnsi="Arial"/>
          <w:b/>
          <w:bCs/>
          <w:i w:val="false"/>
          <w:iCs w:val="false"/>
          <w:color w:val="0E6B6A"/>
          <w:sz w:val="20"/>
          <w:szCs w:val="20"/>
        </w:rPr>
        <w:t xml:space="preserve">Step 3:  </w:t>
      </w:r>
      <w:r>
        <w:rPr>
          <w:rFonts w:ascii="Arial" w:cs="Arial" w:eastAsia="Arial" w:hAnsi="Arial"/>
          <w:b w:val="false"/>
          <w:bCs w:val="false"/>
          <w:i w:val="false"/>
          <w:iCs w:val="false"/>
          <w:color w:val="1A202C"/>
          <w:sz w:val="20"/>
          <w:szCs w:val="20"/>
        </w:rPr>
        <w:t xml:space="preserve">Drag panel title bar to reposition or float.</w:t>
      </w:r>
    </w:p>
    <w:p>
      <w:pPr>
        <w:pBdr>
          <w:top w:val="nil"/>
          <w:left w:val="thick" w:color="276749" w:sz="18"/>
          <w:bottom w:val="nil"/>
          <w:right w:val="nil"/>
        </w:pBdr>
        <w:shd w:fill="F0FFF4" w:val="clear"/>
        <w:spacing w:after="60" w:before="60"/>
        <w:ind w:left="280"/>
        <w:jc w:val="left"/>
      </w:pPr>
      <w:r>
        <w:rPr>
          <w:rFonts w:ascii="Arial" w:cs="Arial" w:eastAsia="Arial" w:hAnsi="Arial"/>
          <w:b w:val="false"/>
          <w:bCs w:val="false"/>
          <w:i w:val="false"/>
          <w:iCs w:val="false"/>
          <w:color w:val="1C4532"/>
          <w:sz w:val="19"/>
          <w:szCs w:val="19"/>
        </w:rPr>
        <w:t xml:space="preserve">TIP:    Keep Basin Panel open permanently -- provides live updates with every basin click.</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Tool 12 -- ICJ/PCA Dossier</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Menu --&gt; HydroSovereign AI Engine v6.0.3 --&gt; ICJ/PCA Dossier.</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Save: Desktop/HSAE_Results/Reports/ICJ_Dossier_2026.html --&gt; Save.</w:t>
      </w:r>
    </w:p>
    <w:p>
      <w:pPr>
        <w:shd w:fill="F7FAFC" w:val="clear"/>
        <w:spacing w:after="55" w:before="35"/>
        <w:ind w:left="160"/>
        <w:jc w:val="left"/>
      </w:pPr>
      <w:r>
        <w:rPr>
          <w:rFonts w:ascii="Arial" w:cs="Arial" w:eastAsia="Arial" w:hAnsi="Arial"/>
          <w:b/>
          <w:bCs/>
          <w:i w:val="false"/>
          <w:iCs w:val="false"/>
          <w:color w:val="0E6B6A"/>
          <w:sz w:val="20"/>
          <w:szCs w:val="20"/>
        </w:rPr>
        <w:t xml:space="preserve">Step 3:  </w:t>
      </w:r>
      <w:r>
        <w:rPr>
          <w:rFonts w:ascii="Arial" w:cs="Arial" w:eastAsia="Arial" w:hAnsi="Arial"/>
          <w:b w:val="false"/>
          <w:bCs w:val="false"/>
          <w:i w:val="false"/>
          <w:iCs w:val="false"/>
          <w:color w:val="1A202C"/>
          <w:sz w:val="20"/>
          <w:szCs w:val="20"/>
        </w:rPr>
        <w:t xml:space="preserve">~20 seconds --&gt; Open in Browser.</w:t>
      </w:r>
    </w:p>
    <w:p>
      <w:pPr>
        <w:shd w:fill="F7FAFC" w:val="clear"/>
        <w:spacing w:after="55" w:before="35"/>
        <w:ind w:left="160"/>
        <w:jc w:val="left"/>
      </w:pPr>
      <w:r>
        <w:rPr>
          <w:rFonts w:ascii="Arial" w:cs="Arial" w:eastAsia="Arial" w:hAnsi="Arial"/>
          <w:b/>
          <w:bCs/>
          <w:i w:val="false"/>
          <w:iCs w:val="false"/>
          <w:color w:val="0E6B6A"/>
          <w:sz w:val="20"/>
          <w:szCs w:val="20"/>
        </w:rPr>
        <w:t xml:space="preserve">Step 4:  </w:t>
      </w:r>
      <w:r>
        <w:rPr>
          <w:rFonts w:ascii="Arial" w:cs="Arial" w:eastAsia="Arial" w:hAnsi="Arial"/>
          <w:b w:val="false"/>
          <w:bCs w:val="false"/>
          <w:i w:val="false"/>
          <w:iCs w:val="false"/>
          <w:color w:val="1A202C"/>
          <w:sz w:val="20"/>
          <w:szCs w:val="20"/>
        </w:rPr>
        <w:t xml:space="preserve">Review: executive summary, UNWC mapping, SHA-256 chain, protest note.</w:t>
      </w:r>
    </w:p>
    <w:p>
      <w:pPr>
        <w:shd w:fill="F7FAFC" w:val="clear"/>
        <w:spacing w:after="55" w:before="35"/>
        <w:ind w:left="160"/>
        <w:jc w:val="left"/>
      </w:pPr>
      <w:r>
        <w:rPr>
          <w:rFonts w:ascii="Arial" w:cs="Arial" w:eastAsia="Arial" w:hAnsi="Arial"/>
          <w:b/>
          <w:bCs/>
          <w:i w:val="false"/>
          <w:iCs w:val="false"/>
          <w:color w:val="0E6B6A"/>
          <w:sz w:val="20"/>
          <w:szCs w:val="20"/>
        </w:rPr>
        <w:t xml:space="preserve">Step 5:  </w:t>
      </w:r>
      <w:r>
        <w:rPr>
          <w:rFonts w:ascii="Arial" w:cs="Arial" w:eastAsia="Arial" w:hAnsi="Arial"/>
          <w:b w:val="false"/>
          <w:bCs w:val="false"/>
          <w:i w:val="false"/>
          <w:iCs w:val="false"/>
          <w:color w:val="1A202C"/>
          <w:sz w:val="20"/>
          <w:szCs w:val="20"/>
        </w:rPr>
        <w:t xml:space="preserve">Print to PDF: Ctrl+P in browser --&gt; Save as PDF.</w:t>
      </w:r>
    </w:p>
    <w:p>
      <w:pPr>
        <w:pBdr>
          <w:top w:val="nil"/>
          <w:left w:val="thick" w:color="C05621" w:sz="18"/>
          <w:bottom w:val="nil"/>
          <w:right w:val="nil"/>
        </w:pBdr>
        <w:shd w:fill="FFFBEB" w:val="clear"/>
        <w:spacing w:after="60" w:before="60"/>
        <w:ind w:left="280"/>
        <w:jc w:val="left"/>
      </w:pPr>
      <w:r>
        <w:rPr>
          <w:rFonts w:ascii="Arial" w:cs="Arial" w:eastAsia="Arial" w:hAnsi="Arial"/>
          <w:b w:val="false"/>
          <w:bCs w:val="false"/>
          <w:i w:val="false"/>
          <w:iCs w:val="false"/>
          <w:color w:val="7B341E"/>
          <w:sz w:val="19"/>
          <w:szCs w:val="19"/>
        </w:rPr>
        <w:t xml:space="preserve">WARN:   For formal legal proceedings, review with qualified international water law expert.</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Tools 14/15/16 -- New v6.0.3 Panels</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Menu --&gt; Basin Risk Map (Tool 14) --&gt; Leaflet map opens inside QGIS</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Menu --&gt; Uncertainty Analysis (Tool 15) --&gt; 95% CI + Sobol panel</w:t>
      </w:r>
    </w:p>
    <w:p>
      <w:pPr>
        <w:shd w:fill="F7FAFC" w:val="clear"/>
        <w:spacing w:after="55" w:before="35"/>
        <w:ind w:left="160"/>
        <w:jc w:val="left"/>
      </w:pPr>
      <w:r>
        <w:rPr>
          <w:rFonts w:ascii="Arial" w:cs="Arial" w:eastAsia="Arial" w:hAnsi="Arial"/>
          <w:b/>
          <w:bCs/>
          <w:i w:val="false"/>
          <w:iCs w:val="false"/>
          <w:color w:val="0E6B6A"/>
          <w:sz w:val="20"/>
          <w:szCs w:val="20"/>
        </w:rPr>
        <w:t xml:space="preserve">Step 3:  </w:t>
      </w:r>
      <w:r>
        <w:rPr>
          <w:rFonts w:ascii="Arial" w:cs="Arial" w:eastAsia="Arial" w:hAnsi="Arial"/>
          <w:b w:val="false"/>
          <w:bCs w:val="false"/>
          <w:i w:val="false"/>
          <w:iCs w:val="false"/>
          <w:color w:val="1A202C"/>
          <w:sz w:val="20"/>
          <w:szCs w:val="20"/>
        </w:rPr>
        <w:t xml:space="preserve">Menu --&gt; Treaty Analysis ATCI (Tool 16) --&gt; select basin --&gt; click Analyse --&gt; ATCI table</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11.4  Processing Algorithms -- Step-by-Step</w:t>
      </w:r>
    </w:p>
    <w:p>
      <w:pPr>
        <w:pStyle w:val="Heading3"/>
        <w:spacing w:after="60" w:before="130"/>
      </w:pPr>
      <w:r>
        <w:rPr>
          <w:rFonts w:ascii="Arial" w:cs="Arial" w:eastAsia="Arial" w:hAnsi="Arial"/>
          <w:b/>
          <w:bCs/>
          <w:i w:val="false"/>
          <w:iCs w:val="false"/>
          <w:color w:val="0E6B6A"/>
          <w:sz w:val="20"/>
          <w:szCs w:val="20"/>
        </w:rPr>
        <w:t xml:space="preserve">Opening the Processing Toolbox</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Processing --&gt; Toolbox (Ctrl+Alt+T) --&gt; panel opens on right.</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Scroll to HydroSovereign AI Engine v6.0.3 --&gt; expand --&gt; 3 subgroups.</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Algorithm 1 -- ATDI Calculator</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HSAE Indices --&gt; ATDI Calculator --&gt; double-click.</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Fill: Runoff Coefficient=0.38, Dam Capacity=74.0, Countries=3, Dispute Level=4.</w:t>
      </w:r>
    </w:p>
    <w:p>
      <w:pPr>
        <w:shd w:fill="F7FAFC" w:val="clear"/>
        <w:spacing w:after="55" w:before="35"/>
        <w:ind w:left="160"/>
        <w:jc w:val="left"/>
      </w:pPr>
      <w:r>
        <w:rPr>
          <w:rFonts w:ascii="Arial" w:cs="Arial" w:eastAsia="Arial" w:hAnsi="Arial"/>
          <w:b/>
          <w:bCs/>
          <w:i w:val="false"/>
          <w:iCs w:val="false"/>
          <w:color w:val="0E6B6A"/>
          <w:sz w:val="20"/>
          <w:szCs w:val="20"/>
        </w:rPr>
        <w:t xml:space="preserve">Step 3:  </w:t>
      </w:r>
      <w:r>
        <w:rPr>
          <w:rFonts w:ascii="Arial" w:cs="Arial" w:eastAsia="Arial" w:hAnsi="Arial"/>
          <w:b w:val="false"/>
          <w:bCs w:val="false"/>
          <w:i w:val="false"/>
          <w:iCs w:val="false"/>
          <w:color w:val="1A202C"/>
          <w:sz w:val="20"/>
          <w:szCs w:val="20"/>
        </w:rPr>
        <w:t xml:space="preserve">Click Run --&gt; Log tab: ATDI = 43.5%</w:t>
      </w:r>
    </w:p>
    <w:p>
      <w:pPr>
        <w:pBdr>
          <w:top w:val="nil"/>
          <w:left w:val="thick" w:color="553C9A" w:sz="18"/>
          <w:bottom w:val="nil"/>
          <w:right w:val="nil"/>
        </w:pBdr>
        <w:shd w:fill="FAF5FF" w:val="clear"/>
        <w:spacing w:after="60" w:before="60"/>
        <w:ind w:left="280"/>
        <w:jc w:val="left"/>
      </w:pPr>
      <w:r>
        <w:rPr>
          <w:rFonts w:ascii="Arial" w:cs="Arial" w:eastAsia="Arial" w:hAnsi="Arial"/>
          <w:b w:val="false"/>
          <w:bCs w:val="false"/>
          <w:i w:val="false"/>
          <w:iCs w:val="false"/>
          <w:color w:val="44337A"/>
          <w:sz w:val="19"/>
          <w:szCs w:val="19"/>
        </w:rPr>
        <w:t xml:space="preserve">RESULT: ATDI = 43.5% --&gt; Article 7 UNWC No-Significant-Harm zone (20-55%)</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Algorithm 2 -- HIFD Calculator</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HSAE Indices --&gt; HIFD Calculator --&gt; same parameters --&gt; Run.</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Log: HIFD = 20.0%</w:t>
      </w:r>
    </w:p>
    <w:p>
      <w:pPr>
        <w:pBdr>
          <w:top w:val="nil"/>
          <w:left w:val="thick" w:color="553C9A" w:sz="18"/>
          <w:bottom w:val="nil"/>
          <w:right w:val="nil"/>
        </w:pBdr>
        <w:shd w:fill="FAF5FF" w:val="clear"/>
        <w:spacing w:after="60" w:before="60"/>
        <w:ind w:left="280"/>
        <w:jc w:val="left"/>
      </w:pPr>
      <w:r>
        <w:rPr>
          <w:rFonts w:ascii="Arial" w:cs="Arial" w:eastAsia="Arial" w:hAnsi="Arial"/>
          <w:b w:val="false"/>
          <w:bCs w:val="false"/>
          <w:i w:val="false"/>
          <w:iCs w:val="false"/>
          <w:color w:val="44337A"/>
          <w:sz w:val="19"/>
          <w:szCs w:val="19"/>
        </w:rPr>
        <w:t xml:space="preserve">RESULT: HIFD = 20.0% -- 20% of natural downstream flow withheld</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Algorithm 3 -- Basin Legal Report</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HSAE Reports --&gt; Basin Legal Report --&gt; double-click.</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Select: Blue Nile. Format: HTML. Output path --&gt; Run.</w:t>
      </w:r>
    </w:p>
    <w:p>
      <w:pPr>
        <w:shd w:fill="F7FAFC" w:val="clear"/>
        <w:spacing w:after="55" w:before="35"/>
        <w:ind w:left="160"/>
        <w:jc w:val="left"/>
      </w:pPr>
      <w:r>
        <w:rPr>
          <w:rFonts w:ascii="Arial" w:cs="Arial" w:eastAsia="Arial" w:hAnsi="Arial"/>
          <w:b/>
          <w:bCs/>
          <w:i w:val="false"/>
          <w:iCs w:val="false"/>
          <w:color w:val="0E6B6A"/>
          <w:sz w:val="20"/>
          <w:szCs w:val="20"/>
        </w:rPr>
        <w:t xml:space="preserve">Step 3:  </w:t>
      </w:r>
      <w:r>
        <w:rPr>
          <w:rFonts w:ascii="Arial" w:cs="Arial" w:eastAsia="Arial" w:hAnsi="Arial"/>
          <w:b w:val="false"/>
          <w:bCs w:val="false"/>
          <w:i w:val="false"/>
          <w:iCs w:val="false"/>
          <w:color w:val="1A202C"/>
          <w:sz w:val="20"/>
          <w:szCs w:val="20"/>
        </w:rPr>
        <w:t xml:space="preserve">~5 seconds --&gt; open HTML for full UNWC legal assessment.</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Algorithm 4 -- HBV-96 Calibration SCE-UA</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HSAE Hydrology --&gt; HBV-96 Calibration --&gt; double-click.</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Q_obs: GloFAS ERA5 v4. Basin: 174000 km2. Period: 2015-2024. Iter: 1000.</w:t>
      </w:r>
    </w:p>
    <w:p>
      <w:pPr>
        <w:shd w:fill="F7FAFC" w:val="clear"/>
        <w:spacing w:after="55" w:before="35"/>
        <w:ind w:left="160"/>
        <w:jc w:val="left"/>
      </w:pPr>
      <w:r>
        <w:rPr>
          <w:rFonts w:ascii="Arial" w:cs="Arial" w:eastAsia="Arial" w:hAnsi="Arial"/>
          <w:b/>
          <w:bCs/>
          <w:i w:val="false"/>
          <w:iCs w:val="false"/>
          <w:color w:val="0E6B6A"/>
          <w:sz w:val="20"/>
          <w:szCs w:val="20"/>
        </w:rPr>
        <w:t xml:space="preserve">Step 3:  </w:t>
      </w:r>
      <w:r>
        <w:rPr>
          <w:rFonts w:ascii="Arial" w:cs="Arial" w:eastAsia="Arial" w:hAnsi="Arial"/>
          <w:b w:val="false"/>
          <w:bCs w:val="false"/>
          <w:i w:val="false"/>
          <w:iCs w:val="false"/>
          <w:color w:val="1A202C"/>
          <w:sz w:val="20"/>
          <w:szCs w:val="20"/>
        </w:rPr>
        <w:t xml:space="preserve">Run --&gt; ~30-60 seconds --&gt; NSE=0.63, KGE=0.74, parameters saved to JSON.</w:t>
      </w:r>
    </w:p>
    <w:p>
      <w:pPr>
        <w:pBdr>
          <w:top w:val="nil"/>
          <w:left w:val="thick" w:color="553C9A" w:sz="18"/>
          <w:bottom w:val="nil"/>
          <w:right w:val="nil"/>
        </w:pBdr>
        <w:shd w:fill="FAF5FF" w:val="clear"/>
        <w:spacing w:after="60" w:before="60"/>
        <w:ind w:left="280"/>
        <w:jc w:val="left"/>
      </w:pPr>
      <w:r>
        <w:rPr>
          <w:rFonts w:ascii="Arial" w:cs="Arial" w:eastAsia="Arial" w:hAnsi="Arial"/>
          <w:b w:val="false"/>
          <w:bCs w:val="false"/>
          <w:i w:val="false"/>
          <w:iCs w:val="false"/>
          <w:color w:val="44337A"/>
          <w:sz w:val="19"/>
          <w:szCs w:val="19"/>
        </w:rPr>
        <w:t xml:space="preserve">RESULT: NSE=0.63, KGE=0.74 -- Satisfactory (proxy-validated against GloFAS ERA5 v4)</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Algorithm 5 -- Multi-Basin Comparison</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HSAE Reports --&gt; Multi-Basin Comparison --&gt; double-click.</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Select: Blue Nile, Mekong, Euphrates, Zambezi --&gt; CSV + HTML --&gt; Run.</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11.5  Complete Workflow Summary -- Blue Nile (19 Steps)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50"/>
        <w:gridCol w:w="2200"/>
        <w:gridCol w:w="1700"/>
        <w:gridCol w:w="2600"/>
        <w:gridCol w:w="2150"/>
      </w:tblGrid>
      <w:tr>
        <w:trPr>
          <w:tblHeader/>
        </w:trPr>
        <w:tc>
          <w:tcPr>
            <w:tcW w:type="dxa" w:w="35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w:t>
            </w:r>
          </w:p>
        </w:tc>
        <w:tc>
          <w:tcPr>
            <w:tcW w:type="dxa" w:w="22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Action</w:t>
            </w:r>
          </w:p>
        </w:tc>
        <w:tc>
          <w:tcPr>
            <w:tcW w:type="dxa" w:w="17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Tool</w:t>
            </w:r>
          </w:p>
        </w:tc>
        <w:tc>
          <w:tcPr>
            <w:tcW w:type="dxa" w:w="26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Output</w:t>
            </w:r>
          </w:p>
        </w:tc>
        <w:tc>
          <w:tcPr>
            <w:tcW w:type="dxa" w:w="215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Time</w:t>
            </w:r>
          </w:p>
        </w:tc>
      </w:tr>
      <w:tr>
        <w:trPr>
          <w:tblHeader w:val="false"/>
        </w:trPr>
        <w:tc>
          <w:tcPr>
            <w:tcW w:type="dxa" w:w="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Setup QGIS + CRS + project</w:t>
            </w:r>
          </w:p>
        </w:tc>
        <w:tc>
          <w:tcPr>
            <w:tcW w:type="dxa" w:w="1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Manual</w:t>
            </w:r>
          </w:p>
        </w:tc>
        <w:tc>
          <w:tcPr>
            <w:tcW w:type="dxa" w:w="2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HSAE_BlueNile.qgz</w:t>
            </w:r>
          </w:p>
        </w:tc>
        <w:tc>
          <w:tcPr>
            <w:tcW w:type="dxa" w:w="21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 min</w:t>
            </w:r>
          </w:p>
        </w:tc>
      </w:tr>
      <w:tr>
        <w:trPr>
          <w:tblHeader w:val="false"/>
        </w:trPr>
        <w:tc>
          <w:tcPr>
            <w:tcW w:type="dxa" w:w="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Load 26 basins</w:t>
            </w:r>
          </w:p>
        </w:tc>
        <w:tc>
          <w:tcPr>
            <w:tcW w:type="dxa" w:w="1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1</w:t>
            </w:r>
          </w:p>
        </w:tc>
        <w:tc>
          <w:tcPr>
            <w:tcW w:type="dxa" w:w="2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QGIS layer</w:t>
            </w:r>
          </w:p>
        </w:tc>
        <w:tc>
          <w:tcPr>
            <w:tcW w:type="dxa" w:w="21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 sec</w:t>
            </w:r>
          </w:p>
        </w:tc>
      </w:tr>
      <w:tr>
        <w:trPr>
          <w:tblHeader w:val="false"/>
        </w:trPr>
        <w:tc>
          <w:tcPr>
            <w:tcW w:type="dxa" w:w="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Apply ATDI colours</w:t>
            </w:r>
          </w:p>
        </w:tc>
        <w:tc>
          <w:tcPr>
            <w:tcW w:type="dxa" w:w="1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2</w:t>
            </w:r>
          </w:p>
        </w:tc>
        <w:tc>
          <w:tcPr>
            <w:tcW w:type="dxa" w:w="2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Styled layer</w:t>
            </w:r>
          </w:p>
        </w:tc>
        <w:tc>
          <w:tcPr>
            <w:tcW w:type="dxa" w:w="21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 sec</w:t>
            </w:r>
          </w:p>
        </w:tc>
      </w:tr>
      <w:tr>
        <w:trPr>
          <w:tblHeader w:val="false"/>
        </w:trPr>
        <w:tc>
          <w:tcPr>
            <w:tcW w:type="dxa" w:w="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Add UNWC legal layer</w:t>
            </w:r>
          </w:p>
        </w:tc>
        <w:tc>
          <w:tcPr>
            <w:tcW w:type="dxa" w:w="1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3</w:t>
            </w:r>
          </w:p>
        </w:tc>
        <w:tc>
          <w:tcPr>
            <w:tcW w:type="dxa" w:w="2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Legal layer</w:t>
            </w:r>
          </w:p>
        </w:tc>
        <w:tc>
          <w:tcPr>
            <w:tcW w:type="dxa" w:w="21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 sec</w:t>
            </w:r>
          </w:p>
        </w:tc>
      </w:tr>
      <w:tr>
        <w:trPr>
          <w:tblHeader w:val="false"/>
        </w:trPr>
        <w:tc>
          <w:tcPr>
            <w:tcW w:type="dxa" w:w="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Load GRDC stations</w:t>
            </w:r>
          </w:p>
        </w:tc>
        <w:tc>
          <w:tcPr>
            <w:tcW w:type="dxa" w:w="1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4</w:t>
            </w:r>
          </w:p>
        </w:tc>
        <w:tc>
          <w:tcPr>
            <w:tcW w:type="dxa" w:w="2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Station layer</w:t>
            </w:r>
          </w:p>
        </w:tc>
        <w:tc>
          <w:tcPr>
            <w:tcW w:type="dxa" w:w="21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 sec</w:t>
            </w:r>
          </w:p>
        </w:tc>
      </w:tr>
      <w:tr>
        <w:trPr>
          <w:tblHeader w:val="false"/>
        </w:trPr>
        <w:tc>
          <w:tcPr>
            <w:tcW w:type="dxa" w:w="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Generate GEE scripts</w:t>
            </w:r>
          </w:p>
        </w:tc>
        <w:tc>
          <w:tcPr>
            <w:tcW w:type="dxa" w:w="1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5</w:t>
            </w:r>
          </w:p>
        </w:tc>
        <w:tc>
          <w:tcPr>
            <w:tcW w:type="dxa" w:w="2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9+ .js files</w:t>
            </w:r>
          </w:p>
        </w:tc>
        <w:tc>
          <w:tcPr>
            <w:tcW w:type="dxa" w:w="21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 min</w:t>
            </w:r>
          </w:p>
        </w:tc>
      </w:tr>
      <w:tr>
        <w:trPr>
          <w:tblHeader w:val="false"/>
        </w:trPr>
        <w:tc>
          <w:tcPr>
            <w:tcW w:type="dxa" w:w="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Review basin dashboard</w:t>
            </w:r>
          </w:p>
        </w:tc>
        <w:tc>
          <w:tcPr>
            <w:tcW w:type="dxa" w:w="1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6</w:t>
            </w:r>
          </w:p>
        </w:tc>
        <w:tc>
          <w:tcPr>
            <w:tcW w:type="dxa" w:w="2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Dashboard.txt</w:t>
            </w:r>
          </w:p>
        </w:tc>
        <w:tc>
          <w:tcPr>
            <w:tcW w:type="dxa" w:w="21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 min</w:t>
            </w:r>
          </w:p>
        </w:tc>
      </w:tr>
      <w:tr>
        <w:trPr>
          <w:tblHeader w:val="false"/>
        </w:trPr>
        <w:tc>
          <w:tcPr>
            <w:tcW w:type="dxa" w:w="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8</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Compute Conflict Index</w:t>
            </w:r>
          </w:p>
        </w:tc>
        <w:tc>
          <w:tcPr>
            <w:tcW w:type="dxa" w:w="1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7</w:t>
            </w:r>
          </w:p>
        </w:tc>
        <w:tc>
          <w:tcPr>
            <w:tcW w:type="dxa" w:w="2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CI_AllBasins.csv</w:t>
            </w:r>
          </w:p>
        </w:tc>
        <w:tc>
          <w:tcPr>
            <w:tcW w:type="dxa" w:w="21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10 sec</w:t>
            </w:r>
          </w:p>
        </w:tc>
      </w:tr>
      <w:tr>
        <w:trPr>
          <w:tblHeader w:val="false"/>
        </w:trPr>
        <w:tc>
          <w:tcPr>
            <w:tcW w:type="dxa" w:w="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9</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Run Negotiation AI</w:t>
            </w:r>
          </w:p>
        </w:tc>
        <w:tc>
          <w:tcPr>
            <w:tcW w:type="dxa" w:w="1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8</w:t>
            </w:r>
          </w:p>
        </w:tc>
        <w:tc>
          <w:tcPr>
            <w:tcW w:type="dxa" w:w="2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Strategy.txt</w:t>
            </w:r>
          </w:p>
        </w:tc>
        <w:tc>
          <w:tcPr>
            <w:tcW w:type="dxa" w:w="21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30 sec</w:t>
            </w:r>
          </w:p>
        </w:tc>
      </w:tr>
      <w:tr>
        <w:trPr>
          <w:tblHeader w:val="false"/>
        </w:trPr>
        <w:tc>
          <w:tcPr>
            <w:tcW w:type="dxa" w:w="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10</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Generate WebGIS map</w:t>
            </w:r>
          </w:p>
        </w:tc>
        <w:tc>
          <w:tcPr>
            <w:tcW w:type="dxa" w:w="1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9</w:t>
            </w:r>
          </w:p>
        </w:tc>
        <w:tc>
          <w:tcPr>
            <w:tcW w:type="dxa" w:w="2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Map.html</w:t>
            </w:r>
          </w:p>
        </w:tc>
        <w:tc>
          <w:tcPr>
            <w:tcW w:type="dxa" w:w="21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15 sec</w:t>
            </w:r>
          </w:p>
        </w:tc>
      </w:tr>
      <w:tr>
        <w:trPr>
          <w:tblHeader w:val="false"/>
        </w:trPr>
        <w:tc>
          <w:tcPr>
            <w:tcW w:type="dxa" w:w="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11</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Export basin data</w:t>
            </w:r>
          </w:p>
        </w:tc>
        <w:tc>
          <w:tcPr>
            <w:tcW w:type="dxa" w:w="1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10</w:t>
            </w:r>
          </w:p>
        </w:tc>
        <w:tc>
          <w:tcPr>
            <w:tcW w:type="dxa" w:w="2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BasinData.geojson</w:t>
            </w:r>
          </w:p>
        </w:tc>
        <w:tc>
          <w:tcPr>
            <w:tcW w:type="dxa" w:w="21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10 sec</w:t>
            </w:r>
          </w:p>
        </w:tc>
      </w:tr>
      <w:tr>
        <w:trPr>
          <w:tblHeader w:val="false"/>
        </w:trPr>
        <w:tc>
          <w:tcPr>
            <w:tcW w:type="dxa" w:w="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12</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Export ICJ Dossier</w:t>
            </w:r>
          </w:p>
        </w:tc>
        <w:tc>
          <w:tcPr>
            <w:tcW w:type="dxa" w:w="1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12</w:t>
            </w:r>
          </w:p>
        </w:tc>
        <w:tc>
          <w:tcPr>
            <w:tcW w:type="dxa" w:w="2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Dossier.html+pdf</w:t>
            </w:r>
          </w:p>
        </w:tc>
        <w:tc>
          <w:tcPr>
            <w:tcW w:type="dxa" w:w="21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 sec</w:t>
            </w:r>
          </w:p>
        </w:tc>
      </w:tr>
      <w:tr>
        <w:trPr>
          <w:tblHeader w:val="false"/>
        </w:trPr>
        <w:tc>
          <w:tcPr>
            <w:tcW w:type="dxa" w:w="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13</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Basin Risk Map [NEW]</w:t>
            </w:r>
          </w:p>
        </w:tc>
        <w:tc>
          <w:tcPr>
            <w:tcW w:type="dxa" w:w="1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14</w:t>
            </w:r>
          </w:p>
        </w:tc>
        <w:tc>
          <w:tcPr>
            <w:tcW w:type="dxa" w:w="2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Interactive panel</w:t>
            </w:r>
          </w:p>
        </w:tc>
        <w:tc>
          <w:tcPr>
            <w:tcW w:type="dxa" w:w="21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 sec</w:t>
            </w:r>
          </w:p>
        </w:tc>
      </w:tr>
      <w:tr>
        <w:trPr>
          <w:tblHeader w:val="false"/>
        </w:trPr>
        <w:tc>
          <w:tcPr>
            <w:tcW w:type="dxa" w:w="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14</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Uncertainty CI [NEW]</w:t>
            </w:r>
          </w:p>
        </w:tc>
        <w:tc>
          <w:tcPr>
            <w:tcW w:type="dxa" w:w="1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15</w:t>
            </w:r>
          </w:p>
        </w:tc>
        <w:tc>
          <w:tcPr>
            <w:tcW w:type="dxa" w:w="2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CI bars + Sobol</w:t>
            </w:r>
          </w:p>
        </w:tc>
        <w:tc>
          <w:tcPr>
            <w:tcW w:type="dxa" w:w="21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 sec</w:t>
            </w:r>
          </w:p>
        </w:tc>
      </w:tr>
      <w:tr>
        <w:trPr>
          <w:tblHeader w:val="false"/>
        </w:trPr>
        <w:tc>
          <w:tcPr>
            <w:tcW w:type="dxa" w:w="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15</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Treaty Analysis [NEW]</w:t>
            </w:r>
          </w:p>
        </w:tc>
        <w:tc>
          <w:tcPr>
            <w:tcW w:type="dxa" w:w="1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16</w:t>
            </w:r>
          </w:p>
        </w:tc>
        <w:tc>
          <w:tcPr>
            <w:tcW w:type="dxa" w:w="2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ATCI table</w:t>
            </w:r>
          </w:p>
        </w:tc>
        <w:tc>
          <w:tcPr>
            <w:tcW w:type="dxa" w:w="21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 sec</w:t>
            </w:r>
          </w:p>
        </w:tc>
      </w:tr>
      <w:tr>
        <w:trPr>
          <w:tblHeader w:val="false"/>
        </w:trPr>
        <w:tc>
          <w:tcPr>
            <w:tcW w:type="dxa" w:w="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16</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Run ATDI Algorithm</w:t>
            </w:r>
          </w:p>
        </w:tc>
        <w:tc>
          <w:tcPr>
            <w:tcW w:type="dxa" w:w="1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Algorithm 1</w:t>
            </w:r>
          </w:p>
        </w:tc>
        <w:tc>
          <w:tcPr>
            <w:tcW w:type="dxa" w:w="2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ATDI=43.5%</w:t>
            </w:r>
          </w:p>
        </w:tc>
        <w:tc>
          <w:tcPr>
            <w:tcW w:type="dxa" w:w="21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 sec</w:t>
            </w:r>
          </w:p>
        </w:tc>
      </w:tr>
      <w:tr>
        <w:trPr>
          <w:tblHeader w:val="false"/>
        </w:trPr>
        <w:tc>
          <w:tcPr>
            <w:tcW w:type="dxa" w:w="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17</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Run HIFD Algorithm</w:t>
            </w:r>
          </w:p>
        </w:tc>
        <w:tc>
          <w:tcPr>
            <w:tcW w:type="dxa" w:w="1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Algorithm 2</w:t>
            </w:r>
          </w:p>
        </w:tc>
        <w:tc>
          <w:tcPr>
            <w:tcW w:type="dxa" w:w="2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HIFD=20.0%</w:t>
            </w:r>
          </w:p>
        </w:tc>
        <w:tc>
          <w:tcPr>
            <w:tcW w:type="dxa" w:w="21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 sec</w:t>
            </w:r>
          </w:p>
        </w:tc>
      </w:tr>
      <w:tr>
        <w:trPr>
          <w:tblHeader w:val="false"/>
        </w:trPr>
        <w:tc>
          <w:tcPr>
            <w:tcW w:type="dxa" w:w="3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18</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HBV-96 calibration</w:t>
            </w:r>
          </w:p>
        </w:tc>
        <w:tc>
          <w:tcPr>
            <w:tcW w:type="dxa" w:w="17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Algorithm 4</w:t>
            </w:r>
          </w:p>
        </w:tc>
        <w:tc>
          <w:tcPr>
            <w:tcW w:type="dxa" w:w="2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NSE=0.63, KGE=0.74</w:t>
            </w:r>
          </w:p>
        </w:tc>
        <w:tc>
          <w:tcPr>
            <w:tcW w:type="dxa" w:w="215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60 sec</w:t>
            </w:r>
          </w:p>
        </w:tc>
      </w:tr>
      <w:tr>
        <w:trPr>
          <w:tblHeader w:val="false"/>
        </w:trPr>
        <w:tc>
          <w:tcPr>
            <w:tcW w:type="dxa" w:w="3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19</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Save project</w:t>
            </w:r>
          </w:p>
        </w:tc>
        <w:tc>
          <w:tcPr>
            <w:tcW w:type="dxa" w:w="17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Ctrl+S</w:t>
            </w:r>
          </w:p>
        </w:tc>
        <w:tc>
          <w:tcPr>
            <w:tcW w:type="dxa" w:w="2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HSAE_BlueNile.qgz</w:t>
            </w:r>
          </w:p>
        </w:tc>
        <w:tc>
          <w:tcPr>
            <w:tcW w:type="dxa" w:w="215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 sec</w:t>
            </w:r>
          </w:p>
        </w:tc>
      </w:tr>
    </w:tbl>
    <w:p>
      <w:pPr>
        <w:spacing w:after="85" w:before="0"/>
        <w:jc w:val="left"/>
      </w:pPr>
      <w:r>
        <w:rPr>
          <w:rFonts w:ascii="Arial" w:cs="Arial" w:eastAsia="Arial" w:hAnsi="Arial"/>
          <w:b w:val="false"/>
          <w:bCs w:val="false"/>
          <w:i/>
          <w:iCs/>
          <w:color w:val="4A5568"/>
          <w:sz w:val="20"/>
          <w:szCs w:val="20"/>
        </w:rPr>
        <w:t xml:space="preserve">[NEW] = new in v6.0.3</w:t>
      </w:r>
    </w:p>
    <w:p>
      <w:pPr>
        <w:pBdr>
          <w:top w:val="nil"/>
          <w:left w:val="thick" w:color="553C9A" w:sz="18"/>
          <w:bottom w:val="nil"/>
          <w:right w:val="nil"/>
        </w:pBdr>
        <w:shd w:fill="FAF5FF" w:val="clear"/>
        <w:spacing w:after="60" w:before="60"/>
        <w:ind w:left="280"/>
        <w:jc w:val="left"/>
      </w:pPr>
      <w:r>
        <w:rPr>
          <w:rFonts w:ascii="Arial" w:cs="Arial" w:eastAsia="Arial" w:hAnsi="Arial"/>
          <w:b w:val="false"/>
          <w:bCs w:val="false"/>
          <w:i w:val="false"/>
          <w:iCs w:val="false"/>
          <w:color w:val="44337A"/>
          <w:sz w:val="19"/>
          <w:szCs w:val="19"/>
        </w:rPr>
        <w:t xml:space="preserve">RESULT: Total: approximately 12-18 minutes for complete Blue Nile analysis.</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11.6  Expected Output Files (Folder Tree)</w:t>
      </w:r>
    </w:p>
    <w:p>
      <w:pPr>
        <w:pBdr>
          <w:top w:val="nil"/>
          <w:left w:val="thick" w:color="0B3D8E" w:sz="16"/>
          <w:bottom w:val="nil"/>
          <w:right w:val="nil"/>
        </w:pBdr>
        <w:shd w:fill="EDF2F7" w:val="clear"/>
        <w:spacing w:after="0" w:before="60"/>
        <w:ind w:left="280"/>
      </w:pPr>
      <w:r>
        <w:rPr>
          <w:rFonts w:ascii="Courier New" w:cs="Courier New" w:eastAsia="Courier New" w:hAnsi="Courier New"/>
          <w:color w:val="1A365D"/>
          <w:sz w:val="18"/>
          <w:szCs w:val="18"/>
        </w:rPr>
        <w:t xml:space="preserve">Desktop/HSAE_Results/</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HSAE_BlueNile_Analysis.qgz</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GEE_Scripts/</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 GPM_IMERG_BlueNile.js</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 GRACE_MASCON_BlueNile.js</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 SMAP_BlueNile.js</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 Sentinel1_BlueNile.js</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 Sentinel2_BlueNile.js</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 ERA5_BlueNile.js</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 OpenMeteo_BlueNile.js</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 MODIS_ET_BlueNile.js</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 VIIRS_NTL_BlueNile.js</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Exports/</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 BasinData_26basins.geojson</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 BasinData_26basins.csv</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 BasinData_26basins.shp</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Reports/</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 BlueNile_Dashboard.txt</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 BlueNile_LegalReport.html</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 BlueNile_NegotiationStrategy.txt</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 ICJ_Dossier_2026.html</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 ICJ_Dossier_2026.pdf</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 ConflictIndex_AllBasins.csv</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 HBV96_Params.json</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 MultiBasin_Comparison.html</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Maps/</w:t>
      </w:r>
    </w:p>
    <w:p>
      <w:pPr>
        <w:pBdr>
          <w:top w:val="nil"/>
          <w:left w:val="thick" w:color="0B3D8E" w:sz="16"/>
          <w:bottom w:val="nil"/>
          <w:right w:val="nil"/>
        </w:pBdr>
        <w:shd w:fill="EDF2F7" w:val="clear"/>
        <w:spacing w:after="60" w:before="0"/>
        <w:ind w:left="280"/>
      </w:pPr>
      <w:r>
        <w:rPr>
          <w:rFonts w:ascii="Courier New" w:cs="Courier New" w:eastAsia="Courier New" w:hAnsi="Courier New"/>
          <w:color w:val="1A365D"/>
          <w:sz w:val="18"/>
          <w:szCs w:val="18"/>
        </w:rPr>
        <w:t xml:space="preserve">    +-- HSAE_TransboundaryMap_2026.html</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11.7  QGIS Keyboard Shortcuts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500"/>
        <w:gridCol w:w="3000"/>
        <w:gridCol w:w="4500"/>
      </w:tblGrid>
      <w:tr>
        <w:trPr>
          <w:tblHeader/>
        </w:trPr>
        <w:tc>
          <w:tcPr>
            <w:tcW w:type="dxa" w:w="1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Shortcut</w:t>
            </w:r>
          </w:p>
        </w:tc>
        <w:tc>
          <w:tcPr>
            <w:tcW w:type="dxa" w:w="3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Action</w:t>
            </w:r>
          </w:p>
        </w:tc>
        <w:tc>
          <w:tcPr>
            <w:tcW w:type="dxa" w:w="4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When Useful</w:t>
            </w:r>
          </w:p>
        </w:tc>
      </w:tr>
      <w:tr>
        <w:trPr>
          <w:tblHeader w:val="false"/>
        </w:trPr>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Identify Features tool</w:t>
            </w:r>
          </w:p>
        </w:tc>
        <w:tc>
          <w:tcPr>
            <w:tcW w:type="dxa" w:w="4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Click basin points to see all attribute values</w:t>
            </w:r>
          </w:p>
        </w:tc>
      </w:tr>
      <w:tr>
        <w:trPr>
          <w:tblHeader w:val="false"/>
        </w:trPr>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F6</w:t>
            </w:r>
          </w:p>
        </w:tc>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Open Attribute Table</w:t>
            </w:r>
          </w:p>
        </w:tc>
        <w:tc>
          <w:tcPr>
            <w:tcW w:type="dxa" w:w="4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View all 26 basins with computed indices</w:t>
            </w:r>
          </w:p>
        </w:tc>
      </w:tr>
      <w:tr>
        <w:trPr>
          <w:tblHeader w:val="false"/>
        </w:trPr>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F7</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Layer Styling panel</w:t>
            </w:r>
          </w:p>
        </w:tc>
        <w:tc>
          <w:tcPr>
            <w:tcW w:type="dxa" w:w="4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Inspect ATDI graduated colour rules</w:t>
            </w:r>
          </w:p>
        </w:tc>
      </w:tr>
      <w:tr>
        <w:trPr>
          <w:tblHeader w:val="false"/>
        </w:trPr>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Ctrl+Alt+T</w:t>
            </w:r>
          </w:p>
        </w:tc>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Open Processing Toolbox</w:t>
            </w:r>
          </w:p>
        </w:tc>
        <w:tc>
          <w:tcPr>
            <w:tcW w:type="dxa" w:w="4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Access all 5 HSAE algorithms</w:t>
            </w:r>
          </w:p>
        </w:tc>
      </w:tr>
      <w:tr>
        <w:trPr>
          <w:tblHeader w:val="false"/>
        </w:trPr>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Ctrl+S</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Save project</w:t>
            </w:r>
          </w:p>
        </w:tc>
        <w:tc>
          <w:tcPr>
            <w:tcW w:type="dxa" w:w="4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Save QGIS project -- do this frequently</w:t>
            </w:r>
          </w:p>
        </w:tc>
      </w:tr>
      <w:tr>
        <w:trPr>
          <w:tblHeader w:val="false"/>
        </w:trPr>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Ctrl+N</w:t>
            </w:r>
          </w:p>
        </w:tc>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New project</w:t>
            </w:r>
          </w:p>
        </w:tc>
        <w:tc>
          <w:tcPr>
            <w:tcW w:type="dxa" w:w="4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Start fresh analysis session</w:t>
            </w:r>
          </w:p>
        </w:tc>
      </w:tr>
      <w:tr>
        <w:trPr>
          <w:tblHeader w:val="false"/>
        </w:trPr>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Ctrl+Shift+F</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Zoom to full extent</w:t>
            </w:r>
          </w:p>
        </w:tc>
        <w:tc>
          <w:tcPr>
            <w:tcW w:type="dxa" w:w="4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See all 26 basins on world map</w:t>
            </w:r>
          </w:p>
        </w:tc>
      </w:tr>
      <w:tr>
        <w:trPr>
          <w:tblHeader w:val="false"/>
        </w:trPr>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Ctrl+Z</w:t>
            </w:r>
          </w:p>
        </w:tc>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Undo last action</w:t>
            </w:r>
          </w:p>
        </w:tc>
        <w:tc>
          <w:tcPr>
            <w:tcW w:type="dxa" w:w="4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Undo accidental layer changes</w:t>
            </w:r>
          </w:p>
        </w:tc>
      </w:tr>
      <w:tr>
        <w:trPr>
          <w:tblHeader w:val="false"/>
        </w:trPr>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Ctrl+P</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Print / export map</w:t>
            </w:r>
          </w:p>
        </w:tc>
        <w:tc>
          <w:tcPr>
            <w:tcW w:type="dxa" w:w="4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Export map canvas to PDF or image</w:t>
            </w:r>
          </w:p>
        </w:tc>
      </w:tr>
      <w:tr>
        <w:trPr>
          <w:tblHeader w:val="false"/>
        </w:trPr>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Ctrl+D</w:t>
            </w:r>
          </w:p>
        </w:tc>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Deselect all features</w:t>
            </w:r>
          </w:p>
        </w:tc>
        <w:tc>
          <w:tcPr>
            <w:tcW w:type="dxa" w:w="4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Clear basin selection on map</w:t>
            </w:r>
          </w:p>
        </w:tc>
      </w:tr>
      <w:tr>
        <w:trPr>
          <w:tblHeader w:val="false"/>
        </w:trPr>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Map tips toggle</w:t>
            </w:r>
          </w:p>
        </w:tc>
        <w:tc>
          <w:tcPr>
            <w:tcW w:type="dxa" w:w="4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Show/hide basin name tooltips on hover</w:t>
            </w:r>
          </w:p>
        </w:tc>
      </w:tr>
    </w:tbl>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11.8  Working with Results in QGIS</w:t>
      </w:r>
    </w:p>
    <w:p>
      <w:pPr>
        <w:pStyle w:val="Heading3"/>
        <w:spacing w:after="60" w:before="130"/>
      </w:pPr>
      <w:r>
        <w:rPr>
          <w:rFonts w:ascii="Arial" w:cs="Arial" w:eastAsia="Arial" w:hAnsi="Arial"/>
          <w:b/>
          <w:bCs/>
          <w:i w:val="false"/>
          <w:iCs w:val="false"/>
          <w:color w:val="0E6B6A"/>
          <w:sz w:val="20"/>
          <w:szCs w:val="20"/>
        </w:rPr>
        <w:t xml:space="preserve">Creating a Print Layout</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Project --&gt; New Print Layout --&gt; name: HSAE_BlueNile_Map.</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Add Item --&gt; Add Map --&gt; draw rectangle --&gt; ATDI map appears.</w:t>
      </w:r>
    </w:p>
    <w:p>
      <w:pPr>
        <w:shd w:fill="F7FAFC" w:val="clear"/>
        <w:spacing w:after="55" w:before="35"/>
        <w:ind w:left="160"/>
        <w:jc w:val="left"/>
      </w:pPr>
      <w:r>
        <w:rPr>
          <w:rFonts w:ascii="Arial" w:cs="Arial" w:eastAsia="Arial" w:hAnsi="Arial"/>
          <w:b/>
          <w:bCs/>
          <w:i w:val="false"/>
          <w:iCs w:val="false"/>
          <w:color w:val="0E6B6A"/>
          <w:sz w:val="20"/>
          <w:szCs w:val="20"/>
        </w:rPr>
        <w:t xml:space="preserve">Step 3:  </w:t>
      </w:r>
      <w:r>
        <w:rPr>
          <w:rFonts w:ascii="Arial" w:cs="Arial" w:eastAsia="Arial" w:hAnsi="Arial"/>
          <w:b w:val="false"/>
          <w:bCs w:val="false"/>
          <w:i w:val="false"/>
          <w:iCs w:val="false"/>
          <w:color w:val="1A202C"/>
          <w:sz w:val="20"/>
          <w:szCs w:val="20"/>
        </w:rPr>
        <w:t xml:space="preserve">Add Item --&gt; Add Legend --&gt; ATDI colour legend bottom-left.</w:t>
      </w:r>
    </w:p>
    <w:p>
      <w:pPr>
        <w:shd w:fill="F7FAFC" w:val="clear"/>
        <w:spacing w:after="55" w:before="35"/>
        <w:ind w:left="160"/>
        <w:jc w:val="left"/>
      </w:pPr>
      <w:r>
        <w:rPr>
          <w:rFonts w:ascii="Arial" w:cs="Arial" w:eastAsia="Arial" w:hAnsi="Arial"/>
          <w:b/>
          <w:bCs/>
          <w:i w:val="false"/>
          <w:iCs w:val="false"/>
          <w:color w:val="0E6B6A"/>
          <w:sz w:val="20"/>
          <w:szCs w:val="20"/>
        </w:rPr>
        <w:t xml:space="preserve">Step 4:  </w:t>
      </w:r>
      <w:r>
        <w:rPr>
          <w:rFonts w:ascii="Arial" w:cs="Arial" w:eastAsia="Arial" w:hAnsi="Arial"/>
          <w:b w:val="false"/>
          <w:bCs w:val="false"/>
          <w:i w:val="false"/>
          <w:iCs w:val="false"/>
          <w:color w:val="1A202C"/>
          <w:sz w:val="20"/>
          <w:szCs w:val="20"/>
        </w:rPr>
        <w:t xml:space="preserve">Add Item --&gt; Add Scale Bar --&gt; bottom-right.</w:t>
      </w:r>
    </w:p>
    <w:p>
      <w:pPr>
        <w:shd w:fill="F7FAFC" w:val="clear"/>
        <w:spacing w:after="55" w:before="35"/>
        <w:ind w:left="160"/>
        <w:jc w:val="left"/>
      </w:pPr>
      <w:r>
        <w:rPr>
          <w:rFonts w:ascii="Arial" w:cs="Arial" w:eastAsia="Arial" w:hAnsi="Arial"/>
          <w:b/>
          <w:bCs/>
          <w:i w:val="false"/>
          <w:iCs w:val="false"/>
          <w:color w:val="0E6B6A"/>
          <w:sz w:val="20"/>
          <w:szCs w:val="20"/>
        </w:rPr>
        <w:t xml:space="preserve">Step 5:  </w:t>
      </w:r>
      <w:r>
        <w:rPr>
          <w:rFonts w:ascii="Arial" w:cs="Arial" w:eastAsia="Arial" w:hAnsi="Arial"/>
          <w:b w:val="false"/>
          <w:bCs w:val="false"/>
          <w:i w:val="false"/>
          <w:iCs w:val="false"/>
          <w:color w:val="1A202C"/>
          <w:sz w:val="20"/>
          <w:szCs w:val="20"/>
        </w:rPr>
        <w:t xml:space="preserve">Add Item --&gt; Add Label --&gt; title: HSAE v6.0.3 Transboundary Basin Risk 2026.</w:t>
      </w:r>
    </w:p>
    <w:p>
      <w:pPr>
        <w:shd w:fill="F7FAFC" w:val="clear"/>
        <w:spacing w:after="55" w:before="35"/>
        <w:ind w:left="160"/>
        <w:jc w:val="left"/>
      </w:pPr>
      <w:r>
        <w:rPr>
          <w:rFonts w:ascii="Arial" w:cs="Arial" w:eastAsia="Arial" w:hAnsi="Arial"/>
          <w:b/>
          <w:bCs/>
          <w:i w:val="false"/>
          <w:iCs w:val="false"/>
          <w:color w:val="0E6B6A"/>
          <w:sz w:val="20"/>
          <w:szCs w:val="20"/>
        </w:rPr>
        <w:t xml:space="preserve">Step 6:  </w:t>
      </w:r>
      <w:r>
        <w:rPr>
          <w:rFonts w:ascii="Arial" w:cs="Arial" w:eastAsia="Arial" w:hAnsi="Arial"/>
          <w:b w:val="false"/>
          <w:bCs w:val="false"/>
          <w:i w:val="false"/>
          <w:iCs w:val="false"/>
          <w:color w:val="1A202C"/>
          <w:sz w:val="20"/>
          <w:szCs w:val="20"/>
        </w:rPr>
        <w:t xml:space="preserve">Layout --&gt; Export as PDF --&gt; Desktop/HSAE_Results/Maps/HSAE_Map.pdf</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Joining External Data</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Have a CSV with Basin_Name column matching basin names in HSAE layer.</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Right-click HSAE Basin Registry --&gt; Properties --&gt; Joins tab.</w:t>
      </w:r>
    </w:p>
    <w:p>
      <w:pPr>
        <w:shd w:fill="F7FAFC" w:val="clear"/>
        <w:spacing w:after="55" w:before="35"/>
        <w:ind w:left="160"/>
        <w:jc w:val="left"/>
      </w:pPr>
      <w:r>
        <w:rPr>
          <w:rFonts w:ascii="Arial" w:cs="Arial" w:eastAsia="Arial" w:hAnsi="Arial"/>
          <w:b/>
          <w:bCs/>
          <w:i w:val="false"/>
          <w:iCs w:val="false"/>
          <w:color w:val="0E6B6A"/>
          <w:sz w:val="20"/>
          <w:szCs w:val="20"/>
        </w:rPr>
        <w:t xml:space="preserve">Step 3:  </w:t>
      </w:r>
      <w:r>
        <w:rPr>
          <w:rFonts w:ascii="Arial" w:cs="Arial" w:eastAsia="Arial" w:hAnsi="Arial"/>
          <w:b w:val="false"/>
          <w:bCs w:val="false"/>
          <w:i w:val="false"/>
          <w:iCs w:val="false"/>
          <w:color w:val="1A202C"/>
          <w:sz w:val="20"/>
          <w:szCs w:val="20"/>
        </w:rPr>
        <w:t xml:space="preserve">Click + --&gt; join field: Basin_Name --&gt; target field: name --&gt; OK.</w:t>
      </w:r>
    </w:p>
    <w:p>
      <w:pPr>
        <w:shd w:fill="F7FAFC" w:val="clear"/>
        <w:spacing w:after="55" w:before="35"/>
        <w:ind w:left="160"/>
        <w:jc w:val="left"/>
      </w:pPr>
      <w:r>
        <w:rPr>
          <w:rFonts w:ascii="Arial" w:cs="Arial" w:eastAsia="Arial" w:hAnsi="Arial"/>
          <w:b/>
          <w:bCs/>
          <w:i w:val="false"/>
          <w:iCs w:val="false"/>
          <w:color w:val="0E6B6A"/>
          <w:sz w:val="20"/>
          <w:szCs w:val="20"/>
        </w:rPr>
        <w:t xml:space="preserve">Step 4:  </w:t>
      </w:r>
      <w:r>
        <w:rPr>
          <w:rFonts w:ascii="Arial" w:cs="Arial" w:eastAsia="Arial" w:hAnsi="Arial"/>
          <w:b w:val="false"/>
          <w:bCs w:val="false"/>
          <w:i w:val="false"/>
          <w:iCs w:val="false"/>
          <w:color w:val="1A202C"/>
          <w:sz w:val="20"/>
          <w:szCs w:val="20"/>
        </w:rPr>
        <w:t xml:space="preserve">Open Attribute Table (F6) to see external data merged with HSAE indices.</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Filtering Basins by Risk Level</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Right-click HSAE Basin Registry --&gt; Filter.</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Query Builder: enter  ATDI  &gt; 40  --&gt; OK.</w:t>
      </w:r>
    </w:p>
    <w:p>
      <w:pPr>
        <w:shd w:fill="F7FAFC" w:val="clear"/>
        <w:spacing w:after="55" w:before="35"/>
        <w:ind w:left="160"/>
        <w:jc w:val="left"/>
      </w:pPr>
      <w:r>
        <w:rPr>
          <w:rFonts w:ascii="Arial" w:cs="Arial" w:eastAsia="Arial" w:hAnsi="Arial"/>
          <w:b/>
          <w:bCs/>
          <w:i w:val="false"/>
          <w:iCs w:val="false"/>
          <w:color w:val="0E6B6A"/>
          <w:sz w:val="20"/>
          <w:szCs w:val="20"/>
        </w:rPr>
        <w:t xml:space="preserve">Step 3:  </w:t>
      </w:r>
      <w:r>
        <w:rPr>
          <w:rFonts w:ascii="Arial" w:cs="Arial" w:eastAsia="Arial" w:hAnsi="Arial"/>
          <w:b w:val="false"/>
          <w:bCs w:val="false"/>
          <w:i w:val="false"/>
          <w:iCs w:val="false"/>
          <w:color w:val="1A202C"/>
          <w:sz w:val="20"/>
          <w:szCs w:val="20"/>
        </w:rPr>
        <w:t xml:space="preserve">Only high-risk basins remain visible on the map.</w:t>
      </w:r>
    </w:p>
    <w:p>
      <w:pPr>
        <w:shd w:fill="F7FAFC" w:val="clear"/>
        <w:spacing w:after="55" w:before="35"/>
        <w:ind w:left="160"/>
        <w:jc w:val="left"/>
      </w:pPr>
      <w:r>
        <w:rPr>
          <w:rFonts w:ascii="Arial" w:cs="Arial" w:eastAsia="Arial" w:hAnsi="Arial"/>
          <w:b/>
          <w:bCs/>
          <w:i w:val="false"/>
          <w:iCs w:val="false"/>
          <w:color w:val="0E6B6A"/>
          <w:sz w:val="20"/>
          <w:szCs w:val="20"/>
        </w:rPr>
        <w:t xml:space="preserve">Step 4:  </w:t>
      </w:r>
      <w:r>
        <w:rPr>
          <w:rFonts w:ascii="Arial" w:cs="Arial" w:eastAsia="Arial" w:hAnsi="Arial"/>
          <w:b w:val="false"/>
          <w:bCs w:val="false"/>
          <w:i w:val="false"/>
          <w:iCs w:val="false"/>
          <w:color w:val="1A202C"/>
          <w:sz w:val="20"/>
          <w:szCs w:val="20"/>
        </w:rPr>
        <w:t xml:space="preserve">Remove filter: right-click --&gt; Filter --&gt; clear expression --&gt; OK.</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11.9  Common Desktop Errors &amp; Solutions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000"/>
        <w:gridCol w:w="2200"/>
        <w:gridCol w:w="3800"/>
      </w:tblGrid>
      <w:tr>
        <w:trPr>
          <w:tblHeader/>
        </w:trPr>
        <w:tc>
          <w:tcPr>
            <w:tcW w:type="dxa" w:w="3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Error</w:t>
            </w:r>
          </w:p>
        </w:tc>
        <w:tc>
          <w:tcPr>
            <w:tcW w:type="dxa" w:w="22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Cause</w:t>
            </w:r>
          </w:p>
        </w:tc>
        <w:tc>
          <w:tcPr>
            <w:tcW w:type="dxa" w:w="38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Solution</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No layer selected for Tool 2</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Basin Registry not active</w:t>
            </w:r>
          </w:p>
        </w:tc>
        <w:tc>
          <w:tcPr>
            <w:tcW w:type="dxa" w:w="3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Single-click layer name in Layers panel</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Nothing appears on map</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Canvas zoom too wide</w:t>
            </w:r>
          </w:p>
        </w:tc>
        <w:tc>
          <w:tcPr>
            <w:tcW w:type="dxa" w:w="3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Right-click layer --&gt; Zoom to Layer</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Processing Toolbox empty</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Processing plugin disabled</w:t>
            </w:r>
          </w:p>
        </w:tc>
        <w:tc>
          <w:tcPr>
            <w:tcW w:type="dxa" w:w="3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Plugins --&gt; Manage --&gt; tick Processing</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Dashboard shows zeros</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Plugin needs reload</w:t>
            </w:r>
          </w:p>
        </w:tc>
        <w:tc>
          <w:tcPr>
            <w:tcW w:type="dxa" w:w="3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Untick/retick HSAE --&gt; restart QGIS</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GEE script auth error</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Not signed in to GEE</w:t>
            </w:r>
          </w:p>
        </w:tc>
        <w:tc>
          <w:tcPr>
            <w:tcW w:type="dxa" w:w="3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earthengine authenticate in terminal</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HTML map blank in browser</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JavaScript disabled</w:t>
            </w:r>
          </w:p>
        </w:tc>
        <w:tc>
          <w:tcPr>
            <w:tcW w:type="dxa" w:w="3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Use Chrome or Firefox</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Algorithm wont open</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Single-click only</w:t>
            </w:r>
          </w:p>
        </w:tc>
        <w:tc>
          <w:tcPr>
            <w:tcW w:type="dxa" w:w="3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Double-click algorithm name in Toolbox</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Export file empty (0 bytes)</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Read-only folder</w:t>
            </w:r>
          </w:p>
        </w:tc>
        <w:tc>
          <w:tcPr>
            <w:tcW w:type="dxa" w:w="3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Export to Desktop/Documents</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QGIS crashes on install</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Old QGIS version</w:t>
            </w:r>
          </w:p>
        </w:tc>
        <w:tc>
          <w:tcPr>
            <w:tcW w:type="dxa" w:w="3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Update to QGIS &gt;= 3.16 LTR</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CRS mismatch warning</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Wrong project CRS</w:t>
            </w:r>
          </w:p>
        </w:tc>
        <w:tc>
          <w:tcPr>
            <w:tcW w:type="dxa" w:w="3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Project Properties --&gt; CRS --&gt; EPSG:4326</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14 panel not loading</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PyQtWebEngine missing</w:t>
            </w:r>
          </w:p>
        </w:tc>
        <w:tc>
          <w:tcPr>
            <w:tcW w:type="dxa" w:w="3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pip install PyQtWebEngine</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ATCI always 0%</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ATDI not computed</w:t>
            </w:r>
          </w:p>
        </w:tc>
        <w:tc>
          <w:tcPr>
            <w:tcW w:type="dxa" w:w="3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Run Tool 6 for the basin first</w:t>
            </w:r>
          </w:p>
        </w:tc>
      </w:tr>
    </w:tbl>
    <w:p>
      <w:pPr>
        <w:spacing w:after="80"/>
      </w:pPr>
      <w:r>
        <w:t xml:space="preserve"/>
      </w:r>
    </w:p>
    <w:p>
      <w:pPr>
        <w:pStyle w:val="Heading1"/>
        <w:pageBreakBefore/>
        <w:pBdr>
          <w:bottom w:val="single" w:color="0E6B6A" w:sz="6"/>
        </w:pBdr>
        <w:shd w:fill="061F4A" w:val="clear"/>
        <w:spacing w:after="200" w:before="0"/>
        <w:ind w:left="260"/>
      </w:pPr>
      <w:r>
        <w:rPr>
          <w:rFonts w:ascii="Arial" w:cs="Arial" w:eastAsia="Arial" w:hAnsi="Arial"/>
          <w:b/>
          <w:bCs/>
          <w:i w:val="false"/>
          <w:iCs w:val="false"/>
          <w:color w:val="FFFFFF"/>
          <w:sz w:val="28"/>
          <w:szCs w:val="28"/>
        </w:rPr>
        <w:t xml:space="preserve">Chapter 12 -- Advanced Features</w:t>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12.1  Model Builder Integration</w:t>
      </w:r>
    </w:p>
    <w:p>
      <w:pPr>
        <w:spacing w:after="85" w:before="0"/>
        <w:jc w:val="left"/>
      </w:pPr>
      <w:r>
        <w:rPr>
          <w:rFonts w:ascii="Arial" w:cs="Arial" w:eastAsia="Arial" w:hAnsi="Arial"/>
          <w:b w:val="false"/>
          <w:bCs w:val="false"/>
          <w:i w:val="false"/>
          <w:iCs w:val="false"/>
          <w:color w:val="1A202C"/>
          <w:sz w:val="20"/>
          <w:szCs w:val="20"/>
        </w:rPr>
        <w:t xml:space="preserve">The QGIS Graphical Modeler chains HSAE Processing algorithms into automated pipelines -- ideal for multiple basins without manual intervention.</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Creating a Basic HSAE Model</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Processing --&gt; Graphical Modeler --&gt; name: HSAE_Full_Analysis, group: HydroSovereign.</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Left panel --&gt; Algorithms --&gt; drag ATDI Calculator to canvas.</w:t>
      </w:r>
    </w:p>
    <w:p>
      <w:pPr>
        <w:shd w:fill="F7FAFC" w:val="clear"/>
        <w:spacing w:after="55" w:before="35"/>
        <w:ind w:left="160"/>
        <w:jc w:val="left"/>
      </w:pPr>
      <w:r>
        <w:rPr>
          <w:rFonts w:ascii="Arial" w:cs="Arial" w:eastAsia="Arial" w:hAnsi="Arial"/>
          <w:b/>
          <w:bCs/>
          <w:i w:val="false"/>
          <w:iCs w:val="false"/>
          <w:color w:val="0E6B6A"/>
          <w:sz w:val="20"/>
          <w:szCs w:val="20"/>
        </w:rPr>
        <w:t xml:space="preserve">Step 3:  </w:t>
      </w:r>
      <w:r>
        <w:rPr>
          <w:rFonts w:ascii="Arial" w:cs="Arial" w:eastAsia="Arial" w:hAnsi="Arial"/>
          <w:b w:val="false"/>
          <w:bCs w:val="false"/>
          <w:i w:val="false"/>
          <w:iCs w:val="false"/>
          <w:color w:val="1A202C"/>
          <w:sz w:val="20"/>
          <w:szCs w:val="20"/>
        </w:rPr>
        <w:t xml:space="preserve">Drag HIFD Calculator, Basin Legal Report, Multi-Basin Comparison to canvas.</w:t>
      </w:r>
    </w:p>
    <w:p>
      <w:pPr>
        <w:shd w:fill="F7FAFC" w:val="clear"/>
        <w:spacing w:after="55" w:before="35"/>
        <w:ind w:left="160"/>
        <w:jc w:val="left"/>
      </w:pPr>
      <w:r>
        <w:rPr>
          <w:rFonts w:ascii="Arial" w:cs="Arial" w:eastAsia="Arial" w:hAnsi="Arial"/>
          <w:b/>
          <w:bCs/>
          <w:i w:val="false"/>
          <w:iCs w:val="false"/>
          <w:color w:val="0E6B6A"/>
          <w:sz w:val="20"/>
          <w:szCs w:val="20"/>
        </w:rPr>
        <w:t xml:space="preserve">Step 4:  </w:t>
      </w:r>
      <w:r>
        <w:rPr>
          <w:rFonts w:ascii="Arial" w:cs="Arial" w:eastAsia="Arial" w:hAnsi="Arial"/>
          <w:b w:val="false"/>
          <w:bCs w:val="false"/>
          <w:i w:val="false"/>
          <w:iCs w:val="false"/>
          <w:color w:val="1A202C"/>
          <w:sz w:val="20"/>
          <w:szCs w:val="20"/>
        </w:rPr>
        <w:t xml:space="preserve">Connect: ATDI output --&gt; Basin Legal Report input.</w:t>
      </w:r>
    </w:p>
    <w:p>
      <w:pPr>
        <w:shd w:fill="F7FAFC" w:val="clear"/>
        <w:spacing w:after="55" w:before="35"/>
        <w:ind w:left="160"/>
        <w:jc w:val="left"/>
      </w:pPr>
      <w:r>
        <w:rPr>
          <w:rFonts w:ascii="Arial" w:cs="Arial" w:eastAsia="Arial" w:hAnsi="Arial"/>
          <w:b/>
          <w:bCs/>
          <w:i w:val="false"/>
          <w:iCs w:val="false"/>
          <w:color w:val="0E6B6A"/>
          <w:sz w:val="20"/>
          <w:szCs w:val="20"/>
        </w:rPr>
        <w:t xml:space="preserve">Step 5:  </w:t>
      </w:r>
      <w:r>
        <w:rPr>
          <w:rFonts w:ascii="Arial" w:cs="Arial" w:eastAsia="Arial" w:hAnsi="Arial"/>
          <w:b w:val="false"/>
          <w:bCs w:val="false"/>
          <w:i w:val="false"/>
          <w:iCs w:val="false"/>
          <w:color w:val="1A202C"/>
          <w:sz w:val="20"/>
          <w:szCs w:val="20"/>
        </w:rPr>
        <w:t xml:space="preserve">Save Model --&gt; Desktop/HSAE_Results/HSAE_Full_Analysis.model3</w:t>
      </w:r>
    </w:p>
    <w:p>
      <w:pPr>
        <w:shd w:fill="F7FAFC" w:val="clear"/>
        <w:spacing w:after="55" w:before="35"/>
        <w:ind w:left="160"/>
        <w:jc w:val="left"/>
      </w:pPr>
      <w:r>
        <w:rPr>
          <w:rFonts w:ascii="Arial" w:cs="Arial" w:eastAsia="Arial" w:hAnsi="Arial"/>
          <w:b/>
          <w:bCs/>
          <w:i w:val="false"/>
          <w:iCs w:val="false"/>
          <w:color w:val="0E6B6A"/>
          <w:sz w:val="20"/>
          <w:szCs w:val="20"/>
        </w:rPr>
        <w:t xml:space="preserve">Step 6:  </w:t>
      </w:r>
      <w:r>
        <w:rPr>
          <w:rFonts w:ascii="Arial" w:cs="Arial" w:eastAsia="Arial" w:hAnsi="Arial"/>
          <w:b w:val="false"/>
          <w:bCs w:val="false"/>
          <w:i w:val="false"/>
          <w:iCs w:val="false"/>
          <w:color w:val="1A202C"/>
          <w:sz w:val="20"/>
          <w:szCs w:val="20"/>
        </w:rPr>
        <w:t xml:space="preserve">Click Run Model --&gt; all 4 algorithms execute in sequence automatically.</w:t>
      </w:r>
    </w:p>
    <w:p>
      <w:pPr>
        <w:pBdr>
          <w:top w:val="nil"/>
          <w:left w:val="thick" w:color="0B3D8E" w:sz="18"/>
          <w:bottom w:val="nil"/>
          <w:right w:val="nil"/>
        </w:pBdr>
        <w:shd w:fill="EBF4FF" w:val="clear"/>
        <w:spacing w:after="60" w:before="60"/>
        <w:ind w:left="280"/>
        <w:jc w:val="left"/>
      </w:pPr>
      <w:r>
        <w:rPr>
          <w:rFonts w:ascii="Arial" w:cs="Arial" w:eastAsia="Arial" w:hAnsi="Arial"/>
          <w:b w:val="false"/>
          <w:bCs w:val="false"/>
          <w:i w:val="false"/>
          <w:iCs w:val="false"/>
          <w:color w:val="1A365D"/>
          <w:sz w:val="19"/>
          <w:szCs w:val="19"/>
        </w:rPr>
        <w:t xml:space="preserve">NOTE:   Model files (.model3) can be shared with other QGIS users who have HSAE installed.</w:t>
      </w:r>
    </w:p>
    <w:p>
      <w:pPr>
        <w:pBdr>
          <w:top w:val="nil"/>
          <w:left w:val="thick" w:color="276749" w:sz="18"/>
          <w:bottom w:val="nil"/>
          <w:right w:val="nil"/>
        </w:pBdr>
        <w:shd w:fill="F0FFF4" w:val="clear"/>
        <w:spacing w:after="60" w:before="60"/>
        <w:ind w:left="280"/>
        <w:jc w:val="left"/>
      </w:pPr>
      <w:r>
        <w:rPr>
          <w:rFonts w:ascii="Arial" w:cs="Arial" w:eastAsia="Arial" w:hAnsi="Arial"/>
          <w:b w:val="false"/>
          <w:bCs w:val="false"/>
          <w:i w:val="false"/>
          <w:iCs w:val="false"/>
          <w:color w:val="1C4532"/>
          <w:sz w:val="19"/>
          <w:szCs w:val="19"/>
        </w:rPr>
        <w:t xml:space="preserve">TIP:    Use model variables for basin name and output folder -- one-click re-run for any basin.</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Example: 5-Basin Pipeline</w:t>
      </w:r>
    </w:p>
    <w:p>
      <w:pPr>
        <w:pBdr>
          <w:top w:val="nil"/>
          <w:left w:val="thick" w:color="0B3D8E" w:sz="16"/>
          <w:bottom w:val="nil"/>
          <w:right w:val="nil"/>
        </w:pBdr>
        <w:shd w:fill="EDF2F7" w:val="clear"/>
        <w:spacing w:after="0" w:before="60"/>
        <w:ind w:left="280"/>
      </w:pPr>
      <w:r>
        <w:rPr>
          <w:rFonts w:ascii="Courier New" w:cs="Courier New" w:eastAsia="Courier New" w:hAnsi="Courier New"/>
          <w:color w:val="1A365D"/>
          <w:sz w:val="18"/>
          <w:szCs w:val="18"/>
        </w:rPr>
        <w:t xml:space="preserve">Model: HSAE_5Basin_Pipeline</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Auto-chained steps for: Blue Nile, Mekong, Euphrates, Zambezi, Vakhsh</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1. ATDI Calculator  --&gt; ATDI for all 5 basins</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2. HIFD Calculator  --&gt; HIFD for all 5 basins</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3. Basin Legal Report --&gt; 5 x HTML reports</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4. Multi-Basin Comparison --&gt; comparison table</w:t>
      </w:r>
    </w:p>
    <w:p>
      <w:pPr>
        <w:pBdr>
          <w:top w:val="nil"/>
          <w:left w:val="thick" w:color="0B3D8E" w:sz="16"/>
          <w:bottom w:val="nil"/>
          <w:right w:val="nil"/>
        </w:pBdr>
        <w:shd w:fill="EDF2F7" w:val="clear"/>
        <w:spacing w:after="60" w:before="0"/>
        <w:ind w:left="280"/>
      </w:pPr>
      <w:r>
        <w:rPr>
          <w:rFonts w:ascii="Courier New" w:cs="Courier New" w:eastAsia="Courier New" w:hAnsi="Courier New"/>
          <w:color w:val="1A365D"/>
          <w:sz w:val="18"/>
          <w:szCs w:val="18"/>
        </w:rPr>
        <w:t xml:space="preserve">Runtime: approx 3 minutes for 5 basins</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12.2  Batch Processing -- All 26 Basins</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Processing Toolbox --&gt; ATDI Calculator --&gt; right-click --&gt; Run as Batch Process.</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Add 26 rows (one per basin) with basin-specific parameters.</w:t>
      </w:r>
    </w:p>
    <w:p>
      <w:pPr>
        <w:shd w:fill="F7FAFC" w:val="clear"/>
        <w:spacing w:after="55" w:before="35"/>
        <w:ind w:left="160"/>
        <w:jc w:val="left"/>
      </w:pPr>
      <w:r>
        <w:rPr>
          <w:rFonts w:ascii="Arial" w:cs="Arial" w:eastAsia="Arial" w:hAnsi="Arial"/>
          <w:b/>
          <w:bCs/>
          <w:i w:val="false"/>
          <w:iCs w:val="false"/>
          <w:color w:val="0E6B6A"/>
          <w:sz w:val="20"/>
          <w:szCs w:val="20"/>
        </w:rPr>
        <w:t xml:space="preserve">Step 3:  </w:t>
      </w:r>
      <w:r>
        <w:rPr>
          <w:rFonts w:ascii="Arial" w:cs="Arial" w:eastAsia="Arial" w:hAnsi="Arial"/>
          <w:b w:val="false"/>
          <w:bCs w:val="false"/>
          <w:i w:val="false"/>
          <w:iCs w:val="false"/>
          <w:color w:val="1A202C"/>
          <w:sz w:val="20"/>
          <w:szCs w:val="20"/>
        </w:rPr>
        <w:t xml:space="preserve">Set output path for each row --&gt; Click Run --&gt; progress bar shows status.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500"/>
        <w:gridCol w:w="1500"/>
        <w:gridCol w:w="1500"/>
        <w:gridCol w:w="1500"/>
        <w:gridCol w:w="2000"/>
      </w:tblGrid>
      <w:tr>
        <w:trPr>
          <w:tblHeader/>
        </w:trPr>
        <w:tc>
          <w:tcPr>
            <w:tcW w:type="dxa" w:w="2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Basin</w:t>
            </w:r>
          </w:p>
        </w:tc>
        <w:tc>
          <w:tcPr>
            <w:tcW w:type="dxa" w:w="1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RC</w:t>
            </w:r>
          </w:p>
        </w:tc>
        <w:tc>
          <w:tcPr>
            <w:tcW w:type="dxa" w:w="1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Cap BCM</w:t>
            </w:r>
          </w:p>
        </w:tc>
        <w:tc>
          <w:tcPr>
            <w:tcW w:type="dxa" w:w="1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Countries</w:t>
            </w:r>
          </w:p>
        </w:tc>
        <w:tc>
          <w:tcPr>
            <w:tcW w:type="dxa" w:w="2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Dispute</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Blue Nile (GERD)</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0.38</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74.0</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w:t>
            </w:r>
          </w:p>
        </w:tc>
      </w:tr>
      <w:tr>
        <w:trPr>
          <w:tblHeader w:val="false"/>
        </w:trPr>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Mekong (Xayaburi)</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0.42</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7.4</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Euphrates (Ataturk)</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0.31</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48.7</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w:t>
            </w:r>
          </w:p>
        </w:tc>
      </w:tr>
      <w:tr>
        <w:trPr>
          <w:tblHeader w:val="false"/>
        </w:trPr>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Zambezi (Kariba)</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0.29</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180.6</w:t>
            </w:r>
          </w:p>
        </w:tc>
        <w:tc>
          <w:tcPr>
            <w:tcW w:type="dxa" w:w="1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Vakhsh (Nurek)</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0.35</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10.5</w:t>
            </w:r>
          </w:p>
        </w:tc>
        <w:tc>
          <w:tcPr>
            <w:tcW w:type="dxa" w:w="1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w:t>
            </w:r>
          </w:p>
        </w:tc>
      </w:tr>
    </w:tbl>
    <w:p>
      <w:pPr>
        <w:pBdr>
          <w:top w:val="nil"/>
          <w:left w:val="thick" w:color="276749" w:sz="18"/>
          <w:bottom w:val="nil"/>
          <w:right w:val="nil"/>
        </w:pBdr>
        <w:shd w:fill="F0FFF4" w:val="clear"/>
        <w:spacing w:after="60" w:before="60"/>
        <w:ind w:left="280"/>
        <w:jc w:val="left"/>
      </w:pPr>
      <w:r>
        <w:rPr>
          <w:rFonts w:ascii="Arial" w:cs="Arial" w:eastAsia="Arial" w:hAnsi="Arial"/>
          <w:b w:val="false"/>
          <w:bCs w:val="false"/>
          <w:i w:val="false"/>
          <w:iCs w:val="false"/>
          <w:color w:val="1C4532"/>
          <w:sz w:val="19"/>
          <w:szCs w:val="19"/>
        </w:rPr>
        <w:t xml:space="preserve">TIP:    Create a CSV with all 26 basin parameters and load via Load from File in batch dialog.</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12.3  Adding a New Basin</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Menu --&gt; HydroSovereign --&gt; About --&gt; Plugin Folder button --&gt; open directory.</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Navigate to: hsae_qgis/basins_50.json --&gt; open in text editor (VS Code, Notepad).</w:t>
      </w:r>
    </w:p>
    <w:p>
      <w:pPr>
        <w:shd w:fill="F7FAFC" w:val="clear"/>
        <w:spacing w:after="55" w:before="35"/>
        <w:ind w:left="160"/>
        <w:jc w:val="left"/>
      </w:pPr>
      <w:r>
        <w:rPr>
          <w:rFonts w:ascii="Arial" w:cs="Arial" w:eastAsia="Arial" w:hAnsi="Arial"/>
          <w:b/>
          <w:bCs/>
          <w:i w:val="false"/>
          <w:iCs w:val="false"/>
          <w:color w:val="0E6B6A"/>
          <w:sz w:val="20"/>
          <w:szCs w:val="20"/>
        </w:rPr>
        <w:t xml:space="preserve">Step 3:  </w:t>
      </w:r>
      <w:r>
        <w:rPr>
          <w:rFonts w:ascii="Arial" w:cs="Arial" w:eastAsia="Arial" w:hAnsi="Arial"/>
          <w:b w:val="false"/>
          <w:bCs w:val="false"/>
          <w:i w:val="false"/>
          <w:iCs w:val="false"/>
          <w:color w:val="1A202C"/>
          <w:sz w:val="20"/>
          <w:szCs w:val="20"/>
        </w:rPr>
        <w:t xml:space="preserve">Add new JSON object:</w:t>
      </w:r>
    </w:p>
    <w:p>
      <w:pPr>
        <w:pBdr>
          <w:top w:val="nil"/>
          <w:left w:val="thick" w:color="0B3D8E" w:sz="16"/>
          <w:bottom w:val="nil"/>
          <w:right w:val="nil"/>
        </w:pBdr>
        <w:shd w:fill="EDF2F7" w:val="clear"/>
        <w:spacing w:after="0" w:before="60"/>
        <w:ind w:left="280"/>
      </w:pPr>
      <w:r>
        <w:rPr>
          <w:rFonts w:ascii="Courier New" w:cs="Courier New" w:eastAsia="Courier New" w:hAnsi="Courier New"/>
          <w:color w:val="1A365D"/>
          <w:sz w:val="18"/>
          <w:szCs w:val="18"/>
        </w:rPr>
        <w:t xml:space="preserve">{</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"id": 27,</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"name": "Jordan River",</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"dam": "King Talal",</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"river": "Jordan",</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"country_up": "Israel / Jordan",</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"cap_bcm": 0.085,</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"n_countries": 4,</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"dispute_level": 5,</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"lat": 32.1,</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"lon": 35.5,</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"region": "Middle East",</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"area_km2": 18300,</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"tdi": 0.0,</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"atf_risk": 0.0,</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"ci_score": 0.0,</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"p_negotiation": 0.0,</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"legal_arts": []</w:t>
      </w:r>
    </w:p>
    <w:p>
      <w:pPr>
        <w:pBdr>
          <w:top w:val="nil"/>
          <w:left w:val="thick" w:color="0B3D8E" w:sz="16"/>
          <w:bottom w:val="nil"/>
          <w:right w:val="nil"/>
        </w:pBdr>
        <w:shd w:fill="EDF2F7" w:val="clear"/>
        <w:spacing w:after="60" w:before="0"/>
        <w:ind w:left="280"/>
      </w:pPr>
      <w:r>
        <w:rPr>
          <w:rFonts w:ascii="Courier New" w:cs="Courier New" w:eastAsia="Courier New" w:hAnsi="Courier New"/>
          <w:color w:val="1A365D"/>
          <w:sz w:val="18"/>
          <w:szCs w:val="18"/>
        </w:rPr>
        <w:t xml:space="preserve">}</w:t>
      </w:r>
    </w:p>
    <w:p>
      <w:pPr>
        <w:shd w:fill="F7FAFC" w:val="clear"/>
        <w:spacing w:after="55" w:before="35"/>
        <w:ind w:left="160"/>
        <w:jc w:val="left"/>
      </w:pPr>
      <w:r>
        <w:rPr>
          <w:rFonts w:ascii="Arial" w:cs="Arial" w:eastAsia="Arial" w:hAnsi="Arial"/>
          <w:b/>
          <w:bCs/>
          <w:i w:val="false"/>
          <w:iCs w:val="false"/>
          <w:color w:val="0E6B6A"/>
          <w:sz w:val="20"/>
          <w:szCs w:val="20"/>
        </w:rPr>
        <w:t xml:space="preserve">Step 4:  </w:t>
      </w:r>
      <w:r>
        <w:rPr>
          <w:rFonts w:ascii="Arial" w:cs="Arial" w:eastAsia="Arial" w:hAnsi="Arial"/>
          <w:b w:val="false"/>
          <w:bCs w:val="false"/>
          <w:i w:val="false"/>
          <w:iCs w:val="false"/>
          <w:color w:val="1A202C"/>
          <w:sz w:val="20"/>
          <w:szCs w:val="20"/>
        </w:rPr>
        <w:t xml:space="preserve">Save basins_50.json.</w:t>
      </w:r>
    </w:p>
    <w:p>
      <w:pPr>
        <w:shd w:fill="F7FAFC" w:val="clear"/>
        <w:spacing w:after="55" w:before="35"/>
        <w:ind w:left="160"/>
        <w:jc w:val="left"/>
      </w:pPr>
      <w:r>
        <w:rPr>
          <w:rFonts w:ascii="Arial" w:cs="Arial" w:eastAsia="Arial" w:hAnsi="Arial"/>
          <w:b/>
          <w:bCs/>
          <w:i w:val="false"/>
          <w:iCs w:val="false"/>
          <w:color w:val="0E6B6A"/>
          <w:sz w:val="20"/>
          <w:szCs w:val="20"/>
        </w:rPr>
        <w:t xml:space="preserve">Step 5:  </w:t>
      </w:r>
      <w:r>
        <w:rPr>
          <w:rFonts w:ascii="Arial" w:cs="Arial" w:eastAsia="Arial" w:hAnsi="Arial"/>
          <w:b w:val="false"/>
          <w:bCs w:val="false"/>
          <w:i w:val="false"/>
          <w:iCs w:val="false"/>
          <w:color w:val="1A202C"/>
          <w:sz w:val="20"/>
          <w:szCs w:val="20"/>
        </w:rPr>
        <w:t xml:space="preserve">Restart QGIS --&gt; Run Tool 1 --&gt; new basin appears at lat/lon coordinates.</w:t>
      </w:r>
    </w:p>
    <w:p>
      <w:pPr>
        <w:shd w:fill="F7FAFC" w:val="clear"/>
        <w:spacing w:after="55" w:before="35"/>
        <w:ind w:left="160"/>
        <w:jc w:val="left"/>
      </w:pPr>
      <w:r>
        <w:rPr>
          <w:rFonts w:ascii="Arial" w:cs="Arial" w:eastAsia="Arial" w:hAnsi="Arial"/>
          <w:b/>
          <w:bCs/>
          <w:i w:val="false"/>
          <w:iCs w:val="false"/>
          <w:color w:val="0E6B6A"/>
          <w:sz w:val="20"/>
          <w:szCs w:val="20"/>
        </w:rPr>
        <w:t xml:space="preserve">Step 6:  </w:t>
      </w:r>
      <w:r>
        <w:rPr>
          <w:rFonts w:ascii="Arial" w:cs="Arial" w:eastAsia="Arial" w:hAnsi="Arial"/>
          <w:b w:val="false"/>
          <w:bCs w:val="false"/>
          <w:i w:val="false"/>
          <w:iCs w:val="false"/>
          <w:color w:val="1A202C"/>
          <w:sz w:val="20"/>
          <w:szCs w:val="20"/>
        </w:rPr>
        <w:t xml:space="preserve">Run Algorithms 1 and 2 to compute ATDI and HIFD.</w:t>
      </w:r>
    </w:p>
    <w:p>
      <w:pPr>
        <w:shd w:fill="F7FAFC" w:val="clear"/>
        <w:spacing w:after="55" w:before="35"/>
        <w:ind w:left="160"/>
        <w:jc w:val="left"/>
      </w:pPr>
      <w:r>
        <w:rPr>
          <w:rFonts w:ascii="Arial" w:cs="Arial" w:eastAsia="Arial" w:hAnsi="Arial"/>
          <w:b/>
          <w:bCs/>
          <w:i w:val="false"/>
          <w:iCs w:val="false"/>
          <w:color w:val="0E6B6A"/>
          <w:sz w:val="20"/>
          <w:szCs w:val="20"/>
        </w:rPr>
        <w:t xml:space="preserve">Step 7:  </w:t>
      </w:r>
      <w:r>
        <w:rPr>
          <w:rFonts w:ascii="Arial" w:cs="Arial" w:eastAsia="Arial" w:hAnsi="Arial"/>
          <w:b w:val="false"/>
          <w:bCs w:val="false"/>
          <w:i w:val="false"/>
          <w:iCs w:val="false"/>
          <w:color w:val="1A202C"/>
          <w:sz w:val="20"/>
          <w:szCs w:val="20"/>
        </w:rPr>
        <w:t xml:space="preserve">Update tdi, atf_risk, ci_score, p_negotiation in basins_50.json.</w:t>
      </w:r>
    </w:p>
    <w:p>
      <w:pPr>
        <w:pBdr>
          <w:top w:val="nil"/>
          <w:left w:val="thick" w:color="C05621" w:sz="18"/>
          <w:bottom w:val="nil"/>
          <w:right w:val="nil"/>
        </w:pBdr>
        <w:shd w:fill="FFFBEB" w:val="clear"/>
        <w:spacing w:after="60" w:before="60"/>
        <w:ind w:left="280"/>
        <w:jc w:val="left"/>
      </w:pPr>
      <w:r>
        <w:rPr>
          <w:rFonts w:ascii="Arial" w:cs="Arial" w:eastAsia="Arial" w:hAnsi="Arial"/>
          <w:b w:val="false"/>
          <w:bCs w:val="false"/>
          <w:i w:val="false"/>
          <w:iCs w:val="false"/>
          <w:color w:val="7B341E"/>
          <w:sz w:val="19"/>
          <w:szCs w:val="19"/>
        </w:rPr>
        <w:t xml:space="preserve">WARN:   Back up basins_50.json before editing. Original recoverable by reinstalling plugin.</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12.4  Python API Integration (Full Examples)</w:t>
      </w:r>
    </w:p>
    <w:p>
      <w:pPr>
        <w:pStyle w:val="Heading3"/>
        <w:spacing w:after="60" w:before="130"/>
      </w:pPr>
      <w:r>
        <w:rPr>
          <w:rFonts w:ascii="Arial" w:cs="Arial" w:eastAsia="Arial" w:hAnsi="Arial"/>
          <w:b/>
          <w:bCs/>
          <w:i w:val="false"/>
          <w:iCs w:val="false"/>
          <w:color w:val="0E6B6A"/>
          <w:sz w:val="20"/>
          <w:szCs w:val="20"/>
        </w:rPr>
        <w:t xml:space="preserve">Installation</w:t>
      </w:r>
    </w:p>
    <w:p>
      <w:pPr>
        <w:pBdr>
          <w:top w:val="nil"/>
          <w:left w:val="thick" w:color="0B3D8E" w:sz="16"/>
          <w:bottom w:val="nil"/>
          <w:right w:val="nil"/>
        </w:pBdr>
        <w:shd w:fill="EDF2F7" w:val="clear"/>
        <w:spacing w:after="0" w:before="60"/>
        <w:ind w:left="280"/>
      </w:pPr>
      <w:r>
        <w:rPr>
          <w:rFonts w:ascii="Courier New" w:cs="Courier New" w:eastAsia="Courier New" w:hAnsi="Courier New"/>
          <w:color w:val="1A365D"/>
          <w:sz w:val="18"/>
          <w:szCs w:val="18"/>
        </w:rPr>
        <w:t xml:space="preserve">pip install hydrosovereign          # base</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pip install hydrosovereign[viz]     # + Plotly and Folium</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pip install hydrosovereign[gee]     # + Google Earth Engine</w:t>
      </w:r>
    </w:p>
    <w:p>
      <w:pPr>
        <w:pBdr>
          <w:top w:val="nil"/>
          <w:left w:val="thick" w:color="0B3D8E" w:sz="16"/>
          <w:bottom w:val="nil"/>
          <w:right w:val="nil"/>
        </w:pBdr>
        <w:shd w:fill="EDF2F7" w:val="clear"/>
        <w:spacing w:after="60" w:before="0"/>
        <w:ind w:left="280"/>
      </w:pPr>
      <w:r>
        <w:rPr>
          <w:rFonts w:ascii="Courier New" w:cs="Courier New" w:eastAsia="Courier New" w:hAnsi="Courier New"/>
          <w:color w:val="1A365D"/>
          <w:sz w:val="18"/>
          <w:szCs w:val="18"/>
        </w:rPr>
        <w:t xml:space="preserve">pip install hydrosovereign[all]     # everything</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Example 1 -- ATDI, HIFD, and Negotiation AI</w:t>
      </w:r>
    </w:p>
    <w:p>
      <w:pPr>
        <w:pBdr>
          <w:top w:val="nil"/>
          <w:left w:val="thick" w:color="0B3D8E" w:sz="16"/>
          <w:bottom w:val="nil"/>
          <w:right w:val="nil"/>
        </w:pBdr>
        <w:shd w:fill="EDF2F7" w:val="clear"/>
        <w:spacing w:after="0" w:before="60"/>
        <w:ind w:left="280"/>
      </w:pPr>
      <w:r>
        <w:rPr>
          <w:rFonts w:ascii="Courier New" w:cs="Courier New" w:eastAsia="Courier New" w:hAnsi="Courier New"/>
          <w:color w:val="1A365D"/>
          <w:sz w:val="18"/>
          <w:szCs w:val="18"/>
        </w:rPr>
        <w:t xml:space="preserve">from hydrosovereign import ATDI, HIFD, ConflictIndex, NegotiationAI</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params = {</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"runoff_coeff":     0.38,</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"dam_capacity_bcm": 74.0,</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"n_countries":      3,</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"dispute_level":    4,</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"basin_area_km2":   174000</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atdi = ATDI(**params)    # --&gt; 43.5%</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hifd = HIFD(**params)    # --&gt; 20.0%</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ci   = ConflictIndex(atdi=atdi, hifd=hifd, **params)  # --&gt; 0.44</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ai = NegotiationAI()</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p  = ai.predict(atdi=atdi, ci=ci, n_countries=3, dispute_level=4)</w:t>
      </w:r>
    </w:p>
    <w:p>
      <w:pPr>
        <w:pBdr>
          <w:top w:val="nil"/>
          <w:left w:val="thick" w:color="0B3D8E" w:sz="16"/>
          <w:bottom w:val="nil"/>
          <w:right w:val="nil"/>
        </w:pBdr>
        <w:shd w:fill="EDF2F7" w:val="clear"/>
        <w:spacing w:after="60" w:before="0"/>
        <w:ind w:left="280"/>
      </w:pPr>
      <w:r>
        <w:rPr>
          <w:rFonts w:ascii="Courier New" w:cs="Courier New" w:eastAsia="Courier New" w:hAnsi="Courier New"/>
          <w:color w:val="1A365D"/>
          <w:sz w:val="18"/>
          <w:szCs w:val="18"/>
        </w:rPr>
        <w:t xml:space="preserve">print(f"P(Negotiation) = {p:.0%}")  # --&gt; 58%</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Example 2 -- HBV-96 Calibration</w:t>
      </w:r>
    </w:p>
    <w:p>
      <w:pPr>
        <w:pBdr>
          <w:top w:val="nil"/>
          <w:left w:val="thick" w:color="0B3D8E" w:sz="16"/>
          <w:bottom w:val="nil"/>
          <w:right w:val="nil"/>
        </w:pBdr>
        <w:shd w:fill="EDF2F7" w:val="clear"/>
        <w:spacing w:after="0" w:before="60"/>
        <w:ind w:left="280"/>
      </w:pPr>
      <w:r>
        <w:rPr>
          <w:rFonts w:ascii="Courier New" w:cs="Courier New" w:eastAsia="Courier New" w:hAnsi="Courier New"/>
          <w:color w:val="1A365D"/>
          <w:sz w:val="18"/>
          <w:szCs w:val="18"/>
        </w:rPr>
        <w:t xml:space="preserve">from hydrosovereign import HBV96, SCEUA</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import pandas as pd</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Q_obs = pd.read_csv("GloFAS_BlueNile_2015_2024.csv")["Q"]</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model  = HBV96(basin_area=174000, elevation=1700)</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result = SCEUA(model, Q_obs=Q_obs, n_iterations=1000)</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print(f"NSE={result.nse:.2f}, KGE={result.kge:.2f}")  # --&gt; 0.63, 0.74</w:t>
      </w:r>
    </w:p>
    <w:p>
      <w:pPr>
        <w:pBdr>
          <w:top w:val="nil"/>
          <w:left w:val="thick" w:color="0B3D8E" w:sz="16"/>
          <w:bottom w:val="nil"/>
          <w:right w:val="nil"/>
        </w:pBdr>
        <w:shd w:fill="EDF2F7" w:val="clear"/>
        <w:spacing w:after="60" w:before="0"/>
        <w:ind w:left="280"/>
      </w:pPr>
      <w:r>
        <w:rPr>
          <w:rFonts w:ascii="Courier New" w:cs="Courier New" w:eastAsia="Courier New" w:hAnsi="Courier New"/>
          <w:color w:val="1A365D"/>
          <w:sz w:val="18"/>
          <w:szCs w:val="18"/>
        </w:rPr>
        <w:t xml:space="preserve">result.params.to_json("HBV96_Params.json")</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Example 3 -- ATCI Treaty Compliance Index</w:t>
      </w:r>
    </w:p>
    <w:p>
      <w:pPr>
        <w:pBdr>
          <w:top w:val="nil"/>
          <w:left w:val="thick" w:color="0B3D8E" w:sz="16"/>
          <w:bottom w:val="nil"/>
          <w:right w:val="nil"/>
        </w:pBdr>
        <w:shd w:fill="EDF2F7" w:val="clear"/>
        <w:spacing w:after="0" w:before="60"/>
        <w:ind w:left="280"/>
      </w:pPr>
      <w:r>
        <w:rPr>
          <w:rFonts w:ascii="Courier New" w:cs="Courier New" w:eastAsia="Courier New" w:hAnsi="Courier New"/>
          <w:color w:val="1A365D"/>
          <w:sz w:val="18"/>
          <w:szCs w:val="18"/>
        </w:rPr>
        <w:t xml:space="preserve">from hydrosovereign import ATCI</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basins = [</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{"name":"Blue Nile","atdi":43.5,"hifd":20.0},</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{"name":"Mekong",   "atdi":56.5,"hifd":32.7},</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{"name":"Columbia", "atdi":19.8,"hifd":23.1},</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for b in basins:</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result = ATCI(atdi=b["atdi"], hifd=b["hifd"])</w:t>
      </w:r>
    </w:p>
    <w:p>
      <w:pPr>
        <w:pBdr>
          <w:top w:val="nil"/>
          <w:left w:val="thick" w:color="0B3D8E" w:sz="16"/>
          <w:bottom w:val="nil"/>
          <w:right w:val="nil"/>
        </w:pBdr>
        <w:shd w:fill="EDF2F7" w:val="clear"/>
        <w:spacing w:after="60" w:before="0"/>
        <w:ind w:left="280"/>
      </w:pPr>
      <w:r>
        <w:rPr>
          <w:rFonts w:ascii="Courier New" w:cs="Courier New" w:eastAsia="Courier New" w:hAnsi="Courier New"/>
          <w:color w:val="1A365D"/>
          <w:sz w:val="18"/>
          <w:szCs w:val="18"/>
        </w:rPr>
        <w:t xml:space="preserve">    print(f"{b['name']}: ATCI={result.score:.0f}%, triggered={result.triggered_articles}")</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Example 4 -- Batch Analysis: All 26 Basins</w:t>
      </w:r>
    </w:p>
    <w:p>
      <w:pPr>
        <w:pBdr>
          <w:top w:val="nil"/>
          <w:left w:val="thick" w:color="0B3D8E" w:sz="16"/>
          <w:bottom w:val="nil"/>
          <w:right w:val="nil"/>
        </w:pBdr>
        <w:shd w:fill="EDF2F7" w:val="clear"/>
        <w:spacing w:after="0" w:before="60"/>
        <w:ind w:left="280"/>
      </w:pPr>
      <w:r>
        <w:rPr>
          <w:rFonts w:ascii="Courier New" w:cs="Courier New" w:eastAsia="Courier New" w:hAnsi="Courier New"/>
          <w:color w:val="1A365D"/>
          <w:sz w:val="18"/>
          <w:szCs w:val="18"/>
        </w:rPr>
        <w:t xml:space="preserve">from hydrosovereign import BasinRegistry, BatchAnalysis</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registry = BasinRegistry()</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results  = BatchAnalysis(registry).run_all()</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results.to_csv("HSAE_AllBasins_Results.csv", index=False)</w:t>
      </w:r>
    </w:p>
    <w:p>
      <w:pPr>
        <w:pBdr>
          <w:top w:val="nil"/>
          <w:left w:val="thick" w:color="0B3D8E" w:sz="16"/>
          <w:bottom w:val="nil"/>
          <w:right w:val="nil"/>
        </w:pBdr>
        <w:shd w:fill="EDF2F7" w:val="clear"/>
        <w:spacing w:after="60" w:before="0"/>
        <w:ind w:left="280"/>
      </w:pPr>
      <w:r>
        <w:rPr>
          <w:rFonts w:ascii="Courier New" w:cs="Courier New" w:eastAsia="Courier New" w:hAnsi="Courier New"/>
          <w:color w:val="1A365D"/>
          <w:sz w:val="18"/>
          <w:szCs w:val="18"/>
        </w:rPr>
        <w:t xml:space="preserve">print(results[["name","ATDI","HIFD","CI","P_negotiation","ATCI"]].to_string())</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12.5  QGIS Python Console Integration</w:t>
      </w:r>
    </w:p>
    <w:p>
      <w:pPr>
        <w:pBdr>
          <w:top w:val="nil"/>
          <w:left w:val="thick" w:color="0B3D8E" w:sz="16"/>
          <w:bottom w:val="nil"/>
          <w:right w:val="nil"/>
        </w:pBdr>
        <w:shd w:fill="EDF2F7" w:val="clear"/>
        <w:spacing w:after="0" w:before="60"/>
        <w:ind w:left="280"/>
      </w:pPr>
      <w:r>
        <w:rPr>
          <w:rFonts w:ascii="Courier New" w:cs="Courier New" w:eastAsia="Courier New" w:hAnsi="Courier New"/>
          <w:color w:val="1A365D"/>
          <w:sz w:val="18"/>
          <w:szCs w:val="18"/>
        </w:rPr>
        <w:t xml:space="preserve"># In QGIS Python Console</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from hydrosovereign import ATDI, BasinRegistry</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registry = BasinRegistry()</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layer    = iface.activeLayer()</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provider = layer.dataProvider()</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with edit(layer):</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for feature in layer.getFeatures():</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basin_params = {</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"runoff_coeff":     feature["rc"],</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"dam_capacity_bcm": feature["cap_bcm"],</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"n_countries":      feature["n_countries"],</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"dispute_level":    feature["dispute"],</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atdi_val = ATDI(**basin_params)</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idx      = provider.fieldNameIndex("ATDI_computed")</w:t>
      </w:r>
    </w:p>
    <w:p>
      <w:pPr>
        <w:pBdr>
          <w:top w:val="nil"/>
          <w:left w:val="thick" w:color="0B3D8E" w:sz="16"/>
          <w:bottom w:val="nil"/>
          <w:right w:val="nil"/>
        </w:pBdr>
        <w:shd w:fill="EDF2F7" w:val="clear"/>
        <w:spacing w:after="60" w:before="0"/>
        <w:ind w:left="280"/>
      </w:pPr>
      <w:r>
        <w:rPr>
          <w:rFonts w:ascii="Courier New" w:cs="Courier New" w:eastAsia="Courier New" w:hAnsi="Courier New"/>
          <w:color w:val="1A365D"/>
          <w:sz w:val="18"/>
          <w:szCs w:val="18"/>
        </w:rPr>
        <w:t xml:space="preserve">        layer.changeAttributeValue(feature.id(), idx, float(atdi_val))</w:t>
      </w:r>
    </w:p>
    <w:p>
      <w:pPr>
        <w:pBdr>
          <w:top w:val="nil"/>
          <w:left w:val="thick" w:color="0B3D8E" w:sz="18"/>
          <w:bottom w:val="nil"/>
          <w:right w:val="nil"/>
        </w:pBdr>
        <w:shd w:fill="EBF4FF" w:val="clear"/>
        <w:spacing w:after="60" w:before="60"/>
        <w:ind w:left="280"/>
        <w:jc w:val="left"/>
      </w:pPr>
      <w:r>
        <w:rPr>
          <w:rFonts w:ascii="Arial" w:cs="Arial" w:eastAsia="Arial" w:hAnsi="Arial"/>
          <w:b w:val="false"/>
          <w:bCs w:val="false"/>
          <w:i w:val="false"/>
          <w:iCs w:val="false"/>
          <w:color w:val="1A365D"/>
          <w:sz w:val="19"/>
          <w:szCs w:val="19"/>
        </w:rPr>
        <w:t xml:space="preserve">NOTE:   hydrosovereign v6.5.3 requires Python 3.8+. QGIS 3.16+ bundles Python 3.9.</w:t>
      </w:r>
    </w:p>
    <w:p>
      <w:pPr>
        <w:spacing w:after="80"/>
      </w:pPr>
      <w:r>
        <w:t xml:space="preserve"/>
      </w:r>
    </w:p>
    <w:p>
      <w:pPr>
        <w:pStyle w:val="Heading1"/>
        <w:pageBreakBefore/>
        <w:pBdr>
          <w:bottom w:val="single" w:color="0E6B6A" w:sz="6"/>
        </w:pBdr>
        <w:shd w:fill="061F4A" w:val="clear"/>
        <w:spacing w:after="200" w:before="0"/>
        <w:ind w:left="260"/>
      </w:pPr>
      <w:r>
        <w:rPr>
          <w:rFonts w:ascii="Arial" w:cs="Arial" w:eastAsia="Arial" w:hAnsi="Arial"/>
          <w:b/>
          <w:bCs/>
          <w:i w:val="false"/>
          <w:iCs w:val="false"/>
          <w:color w:val="FFFFFF"/>
          <w:sz w:val="28"/>
          <w:szCs w:val="28"/>
        </w:rPr>
        <w:t xml:space="preserve">Chapter 13 -- Case Study 2: Mekong River Basin</w:t>
      </w:r>
    </w:p>
    <w:p>
      <w:pPr>
        <w:spacing w:after="85" w:before="0"/>
        <w:jc w:val="left"/>
      </w:pPr>
      <w:r>
        <w:rPr>
          <w:rFonts w:ascii="Arial" w:cs="Arial" w:eastAsia="Arial" w:hAnsi="Arial"/>
          <w:b/>
          <w:bCs/>
          <w:i w:val="false"/>
          <w:iCs w:val="false"/>
          <w:color w:val="061F4A"/>
          <w:sz w:val="20"/>
          <w:szCs w:val="20"/>
        </w:rPr>
        <w:t xml:space="preserve">Dam: </w:t>
      </w:r>
      <w:r>
        <w:rPr>
          <w:rFonts w:ascii="Arial" w:cs="Arial" w:eastAsia="Arial" w:hAnsi="Arial"/>
          <w:b w:val="false"/>
          <w:bCs w:val="false"/>
          <w:i w:val="false"/>
          <w:iCs w:val="false"/>
          <w:color w:val="1A202C"/>
          <w:sz w:val="20"/>
          <w:szCs w:val="20"/>
        </w:rPr>
        <w:t xml:space="preserve">Xayaburi (Laos, completed 2019)  --  </w:t>
      </w:r>
      <w:r>
        <w:rPr>
          <w:rFonts w:ascii="Arial" w:cs="Arial" w:eastAsia="Arial" w:hAnsi="Arial"/>
          <w:b/>
          <w:bCs/>
          <w:i w:val="false"/>
          <w:iCs w:val="false"/>
          <w:color w:val="061F4A"/>
          <w:sz w:val="20"/>
          <w:szCs w:val="20"/>
        </w:rPr>
        <w:t xml:space="preserve">Riparian states: </w:t>
      </w:r>
      <w:r>
        <w:rPr>
          <w:rFonts w:ascii="Arial" w:cs="Arial" w:eastAsia="Arial" w:hAnsi="Arial"/>
          <w:b w:val="false"/>
          <w:bCs w:val="false"/>
          <w:i w:val="false"/>
          <w:iCs w:val="false"/>
          <w:color w:val="1A202C"/>
          <w:sz w:val="20"/>
          <w:szCs w:val="20"/>
        </w:rPr>
        <w:t xml:space="preserve">6 (China, Myanmar, Thailand, Laos, Cambodia, Vietnam)</w:t>
      </w:r>
    </w:p>
    <w:p>
      <w:pPr>
        <w:spacing w:after="85" w:before="0"/>
        <w:jc w:val="left"/>
      </w:pPr>
      <w:r>
        <w:rPr>
          <w:rFonts w:ascii="Arial" w:cs="Arial" w:eastAsia="Arial" w:hAnsi="Arial"/>
          <w:b w:val="false"/>
          <w:bCs w:val="false"/>
          <w:i w:val="false"/>
          <w:iCs w:val="false"/>
          <w:color w:val="1A202C"/>
          <w:sz w:val="20"/>
          <w:szCs w:val="20"/>
        </w:rPr>
        <w:t xml:space="preserve">The Mekong River Basin (795,000 km2, 4,350 km long) is one of the world's most contested transboundary rivers. The Xayaburi Dam (1,285 MW, capacity 7.4 BCM) in Laos was completed in 2019 despite formal objections from Cambodia and Vietnam under MRC procedures.</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13.1  Mekong Basin Parameters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500"/>
        <w:gridCol w:w="2000"/>
        <w:gridCol w:w="2000"/>
        <w:gridCol w:w="2500"/>
      </w:tblGrid>
      <w:tr>
        <w:trPr>
          <w:tblHeader/>
        </w:trPr>
        <w:tc>
          <w:tcPr>
            <w:tcW w:type="dxa" w:w="2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Parameter</w:t>
            </w:r>
          </w:p>
        </w:tc>
        <w:tc>
          <w:tcPr>
            <w:tcW w:type="dxa" w:w="2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Mekong (Xayaburi)</w:t>
            </w:r>
          </w:p>
        </w:tc>
        <w:tc>
          <w:tcPr>
            <w:tcW w:type="dxa" w:w="2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Blue Nile (GERD)</w:t>
            </w:r>
          </w:p>
        </w:tc>
        <w:tc>
          <w:tcPr>
            <w:tcW w:type="dxa" w:w="2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Comparison</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Runoff Coefficient</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0.42</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0.38</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Mekong higher (wetter basin)</w:t>
            </w:r>
          </w:p>
        </w:tc>
      </w:tr>
      <w:tr>
        <w:trPr>
          <w:tblHeader w:val="false"/>
        </w:trPr>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Dam Capacity (BCM)</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7.4</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74.0</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GERD 10x larger</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Number of countries</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Mekong 2x more complex</w:t>
            </w:r>
          </w:p>
        </w:tc>
      </w:tr>
      <w:tr>
        <w:trPr>
          <w:tblHeader w:val="false"/>
        </w:trPr>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Dispute Level (1-5)</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Mekong higher tension</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Basin Area (km2)</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795,000</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174,000</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Mekong 4.6x larger</w:t>
            </w:r>
          </w:p>
        </w:tc>
      </w:tr>
      <w:tr>
        <w:trPr>
          <w:tblHeader w:val="false"/>
        </w:trPr>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Dam completion</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2019</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2020-2023 (fill)</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Similar timeline</w:t>
            </w:r>
          </w:p>
        </w:tc>
      </w:tr>
    </w:tbl>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13.2  Running the Mekong Analysis</w:t>
      </w:r>
    </w:p>
    <w:p>
      <w:pPr>
        <w:pStyle w:val="Heading3"/>
        <w:spacing w:after="60" w:before="130"/>
      </w:pPr>
      <w:r>
        <w:rPr>
          <w:rFonts w:ascii="Arial" w:cs="Arial" w:eastAsia="Arial" w:hAnsi="Arial"/>
          <w:b/>
          <w:bCs/>
          <w:i w:val="false"/>
          <w:iCs w:val="false"/>
          <w:color w:val="0E6B6A"/>
          <w:sz w:val="20"/>
          <w:szCs w:val="20"/>
        </w:rPr>
        <w:t xml:space="preserve">Step A -- Load and Visualise</w:t>
      </w:r>
    </w:p>
    <w:p>
      <w:pPr>
        <w:shd w:fill="F7FAFC" w:val="clear"/>
        <w:spacing w:after="55" w:before="35"/>
        <w:ind w:left="160"/>
        <w:jc w:val="left"/>
      </w:pPr>
      <w:r>
        <w:rPr>
          <w:rFonts w:ascii="Arial" w:cs="Arial" w:eastAsia="Arial" w:hAnsi="Arial"/>
          <w:b/>
          <w:bCs/>
          <w:i w:val="false"/>
          <w:iCs w:val="false"/>
          <w:color w:val="0E6B6A"/>
          <w:sz w:val="20"/>
          <w:szCs w:val="20"/>
        </w:rPr>
        <w:t xml:space="preserve">Step 1:  </w:t>
      </w:r>
      <w:r>
        <w:rPr>
          <w:rFonts w:ascii="Arial" w:cs="Arial" w:eastAsia="Arial" w:hAnsi="Arial"/>
          <w:b w:val="false"/>
          <w:bCs w:val="false"/>
          <w:i w:val="false"/>
          <w:iCs w:val="false"/>
          <w:color w:val="1A202C"/>
          <w:sz w:val="20"/>
          <w:szCs w:val="20"/>
        </w:rPr>
        <w:t xml:space="preserve">Tool 1: Load Basin Registry --&gt; Mekong at lat=18.0, lon=101.8 in Southeast Asia.</w:t>
      </w:r>
    </w:p>
    <w:p>
      <w:pPr>
        <w:shd w:fill="F7FAFC" w:val="clear"/>
        <w:spacing w:after="55" w:before="35"/>
        <w:ind w:left="160"/>
        <w:jc w:val="left"/>
      </w:pPr>
      <w:r>
        <w:rPr>
          <w:rFonts w:ascii="Arial" w:cs="Arial" w:eastAsia="Arial" w:hAnsi="Arial"/>
          <w:b/>
          <w:bCs/>
          <w:i w:val="false"/>
          <w:iCs w:val="false"/>
          <w:color w:val="0E6B6A"/>
          <w:sz w:val="20"/>
          <w:szCs w:val="20"/>
        </w:rPr>
        <w:t xml:space="preserve">Step 2:  </w:t>
      </w:r>
      <w:r>
        <w:rPr>
          <w:rFonts w:ascii="Arial" w:cs="Arial" w:eastAsia="Arial" w:hAnsi="Arial"/>
          <w:b w:val="false"/>
          <w:bCs w:val="false"/>
          <w:i w:val="false"/>
          <w:iCs w:val="false"/>
          <w:color w:val="1A202C"/>
          <w:sz w:val="20"/>
          <w:szCs w:val="20"/>
        </w:rPr>
        <w:t xml:space="preserve">Tool 2: ATDI Visualiser --&gt; Mekong = RED (ATDI 56.5%) --&gt; Article 33 Dispute zone.</w:t>
      </w:r>
    </w:p>
    <w:p>
      <w:pPr>
        <w:shd w:fill="F7FAFC" w:val="clear"/>
        <w:spacing w:after="55" w:before="35"/>
        <w:ind w:left="160"/>
        <w:jc w:val="left"/>
      </w:pPr>
      <w:r>
        <w:rPr>
          <w:rFonts w:ascii="Arial" w:cs="Arial" w:eastAsia="Arial" w:hAnsi="Arial"/>
          <w:b/>
          <w:bCs/>
          <w:i w:val="false"/>
          <w:iCs w:val="false"/>
          <w:color w:val="0E6B6A"/>
          <w:sz w:val="20"/>
          <w:szCs w:val="20"/>
        </w:rPr>
        <w:t xml:space="preserve">Step 3:  </w:t>
      </w:r>
      <w:r>
        <w:rPr>
          <w:rFonts w:ascii="Arial" w:cs="Arial" w:eastAsia="Arial" w:hAnsi="Arial"/>
          <w:b w:val="false"/>
          <w:bCs w:val="false"/>
          <w:i w:val="false"/>
          <w:iCs w:val="false"/>
          <w:color w:val="1A202C"/>
          <w:sz w:val="20"/>
          <w:szCs w:val="20"/>
        </w:rPr>
        <w:t xml:space="preserve">Tool 6: Dashboard --&gt; select Mekong (Xayaburi, Laos) --&gt; review all indices.</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Step B -- Run Algorithms</w:t>
      </w:r>
    </w:p>
    <w:p>
      <w:pPr>
        <w:shd w:fill="F7FAFC" w:val="clear"/>
        <w:spacing w:after="55" w:before="35"/>
        <w:ind w:left="160"/>
        <w:jc w:val="left"/>
      </w:pPr>
      <w:r>
        <w:rPr>
          <w:rFonts w:ascii="Arial" w:cs="Arial" w:eastAsia="Arial" w:hAnsi="Arial"/>
          <w:b/>
          <w:bCs/>
          <w:i w:val="false"/>
          <w:iCs w:val="false"/>
          <w:color w:val="0E6B6A"/>
          <w:sz w:val="20"/>
          <w:szCs w:val="20"/>
        </w:rPr>
        <w:t xml:space="preserve">Step 4:  </w:t>
      </w:r>
      <w:r>
        <w:rPr>
          <w:rFonts w:ascii="Arial" w:cs="Arial" w:eastAsia="Arial" w:hAnsi="Arial"/>
          <w:b w:val="false"/>
          <w:bCs w:val="false"/>
          <w:i w:val="false"/>
          <w:iCs w:val="false"/>
          <w:color w:val="1A202C"/>
          <w:sz w:val="20"/>
          <w:szCs w:val="20"/>
        </w:rPr>
        <w:t xml:space="preserve">Algorithm 1 -- ATDI: RC=0.42, Cap=7.4, Countries=6, Dispute=5 --&gt; ATDI = 56.5%</w:t>
      </w:r>
    </w:p>
    <w:p>
      <w:pPr>
        <w:shd w:fill="F7FAFC" w:val="clear"/>
        <w:spacing w:after="55" w:before="35"/>
        <w:ind w:left="160"/>
        <w:jc w:val="left"/>
      </w:pPr>
      <w:r>
        <w:rPr>
          <w:rFonts w:ascii="Arial" w:cs="Arial" w:eastAsia="Arial" w:hAnsi="Arial"/>
          <w:b/>
          <w:bCs/>
          <w:i w:val="false"/>
          <w:iCs w:val="false"/>
          <w:color w:val="0E6B6A"/>
          <w:sz w:val="20"/>
          <w:szCs w:val="20"/>
        </w:rPr>
        <w:t xml:space="preserve">Step 5:  </w:t>
      </w:r>
      <w:r>
        <w:rPr>
          <w:rFonts w:ascii="Arial" w:cs="Arial" w:eastAsia="Arial" w:hAnsi="Arial"/>
          <w:b w:val="false"/>
          <w:bCs w:val="false"/>
          <w:i w:val="false"/>
          <w:iCs w:val="false"/>
          <w:color w:val="1A202C"/>
          <w:sz w:val="20"/>
          <w:szCs w:val="20"/>
        </w:rPr>
        <w:t xml:space="preserve">Algorithm 2 -- HIFD: same parameters --&gt; HIFD = 32.7%</w:t>
      </w:r>
    </w:p>
    <w:p>
      <w:pPr>
        <w:shd w:fill="F7FAFC" w:val="clear"/>
        <w:spacing w:after="55" w:before="35"/>
        <w:ind w:left="160"/>
        <w:jc w:val="left"/>
      </w:pPr>
      <w:r>
        <w:rPr>
          <w:rFonts w:ascii="Arial" w:cs="Arial" w:eastAsia="Arial" w:hAnsi="Arial"/>
          <w:b/>
          <w:bCs/>
          <w:i w:val="false"/>
          <w:iCs w:val="false"/>
          <w:color w:val="0E6B6A"/>
          <w:sz w:val="20"/>
          <w:szCs w:val="20"/>
        </w:rPr>
        <w:t xml:space="preserve">Step 6:  </w:t>
      </w:r>
      <w:r>
        <w:rPr>
          <w:rFonts w:ascii="Arial" w:cs="Arial" w:eastAsia="Arial" w:hAnsi="Arial"/>
          <w:b w:val="false"/>
          <w:bCs w:val="false"/>
          <w:i w:val="false"/>
          <w:iCs w:val="false"/>
          <w:color w:val="1A202C"/>
          <w:sz w:val="20"/>
          <w:szCs w:val="20"/>
        </w:rPr>
        <w:t xml:space="preserve">Algorithm 3 -- Legal Report: Mekong --&gt; Art. 33 triggered --&gt; PCA pathway.</w:t>
      </w:r>
    </w:p>
    <w:p>
      <w:pPr>
        <w:shd w:fill="F7FAFC" w:val="clear"/>
        <w:spacing w:after="55" w:before="35"/>
        <w:ind w:left="160"/>
        <w:jc w:val="left"/>
      </w:pPr>
      <w:r>
        <w:rPr>
          <w:rFonts w:ascii="Arial" w:cs="Arial" w:eastAsia="Arial" w:hAnsi="Arial"/>
          <w:b/>
          <w:bCs/>
          <w:i w:val="false"/>
          <w:iCs w:val="false"/>
          <w:color w:val="0E6B6A"/>
          <w:sz w:val="20"/>
          <w:szCs w:val="20"/>
        </w:rPr>
        <w:t xml:space="preserve">Step 7:  </w:t>
      </w:r>
      <w:r>
        <w:rPr>
          <w:rFonts w:ascii="Arial" w:cs="Arial" w:eastAsia="Arial" w:hAnsi="Arial"/>
          <w:b w:val="false"/>
          <w:bCs w:val="false"/>
          <w:i w:val="false"/>
          <w:iCs w:val="false"/>
          <w:color w:val="1A202C"/>
          <w:sz w:val="20"/>
          <w:szCs w:val="20"/>
        </w:rPr>
        <w:t xml:space="preserve">Tool 16 -- Treaty Analysis: ATCI = 90% (9/10 articles triggered).</w:t>
      </w:r>
    </w:p>
    <w:p>
      <w:pPr>
        <w:spacing w:after="80"/>
      </w:pPr>
      <w:r>
        <w:t xml:space="preserve"/>
      </w:r>
    </w:p>
    <w:p>
      <w:pPr>
        <w:pStyle w:val="Heading3"/>
        <w:spacing w:after="60" w:before="130"/>
      </w:pPr>
      <w:r>
        <w:rPr>
          <w:rFonts w:ascii="Arial" w:cs="Arial" w:eastAsia="Arial" w:hAnsi="Arial"/>
          <w:b/>
          <w:bCs/>
          <w:i w:val="false"/>
          <w:iCs w:val="false"/>
          <w:color w:val="0E6B6A"/>
          <w:sz w:val="20"/>
          <w:szCs w:val="20"/>
        </w:rPr>
        <w:t xml:space="preserve">Step C -- Conflict and Negotiation</w:t>
      </w:r>
    </w:p>
    <w:p>
      <w:pPr>
        <w:shd w:fill="F7FAFC" w:val="clear"/>
        <w:spacing w:after="55" w:before="35"/>
        <w:ind w:left="160"/>
        <w:jc w:val="left"/>
      </w:pPr>
      <w:r>
        <w:rPr>
          <w:rFonts w:ascii="Arial" w:cs="Arial" w:eastAsia="Arial" w:hAnsi="Arial"/>
          <w:b/>
          <w:bCs/>
          <w:i w:val="false"/>
          <w:iCs w:val="false"/>
          <w:color w:val="0E6B6A"/>
          <w:sz w:val="20"/>
          <w:szCs w:val="20"/>
        </w:rPr>
        <w:t xml:space="preserve">Step 8:  </w:t>
      </w:r>
      <w:r>
        <w:rPr>
          <w:rFonts w:ascii="Arial" w:cs="Arial" w:eastAsia="Arial" w:hAnsi="Arial"/>
          <w:b w:val="false"/>
          <w:bCs w:val="false"/>
          <w:i w:val="false"/>
          <w:iCs w:val="false"/>
          <w:color w:val="1A202C"/>
          <w:sz w:val="20"/>
          <w:szCs w:val="20"/>
        </w:rPr>
        <w:t xml:space="preserve">Tool 7: CI --&gt; Mekong CI = 0.61 CRITICAL (highest in 26-basin registry).</w:t>
      </w:r>
    </w:p>
    <w:p>
      <w:pPr>
        <w:shd w:fill="F7FAFC" w:val="clear"/>
        <w:spacing w:after="55" w:before="35"/>
        <w:ind w:left="160"/>
        <w:jc w:val="left"/>
      </w:pPr>
      <w:r>
        <w:rPr>
          <w:rFonts w:ascii="Arial" w:cs="Arial" w:eastAsia="Arial" w:hAnsi="Arial"/>
          <w:b/>
          <w:bCs/>
          <w:i w:val="false"/>
          <w:iCs w:val="false"/>
          <w:color w:val="0E6B6A"/>
          <w:sz w:val="20"/>
          <w:szCs w:val="20"/>
        </w:rPr>
        <w:t xml:space="preserve">Step 9:  </w:t>
      </w:r>
      <w:r>
        <w:rPr>
          <w:rFonts w:ascii="Arial" w:cs="Arial" w:eastAsia="Arial" w:hAnsi="Arial"/>
          <w:b w:val="false"/>
          <w:bCs w:val="false"/>
          <w:i w:val="false"/>
          <w:iCs w:val="false"/>
          <w:color w:val="1A202C"/>
          <w:sz w:val="20"/>
          <w:szCs w:val="20"/>
        </w:rPr>
        <w:t xml:space="preserve">Tool 8: Negotiation AI --&gt; P(Success) = 31% --&gt; PCA Arbitration (Art. 33).</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13.3  Mekong Results Summary</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000"/>
        <w:gridCol w:w="2000"/>
        <w:gridCol w:w="5000"/>
      </w:tblGrid>
      <w:tr>
        <w:trPr>
          <w:tblHeader/>
        </w:trPr>
        <w:tc>
          <w:tcPr>
            <w:tcW w:type="dxa" w:w="2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Index</w:t>
            </w:r>
          </w:p>
        </w:tc>
        <w:tc>
          <w:tcPr>
            <w:tcW w:type="dxa" w:w="2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Mekong Value</w:t>
            </w:r>
          </w:p>
        </w:tc>
        <w:tc>
          <w:tcPr>
            <w:tcW w:type="dxa" w:w="5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Interpretation</w:t>
            </w:r>
          </w:p>
        </w:tc>
      </w:tr>
      <w:tr>
        <w:trPr>
          <w:tblHeader w:val="false"/>
        </w:trPr>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ATDI</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56.5%</w:t>
            </w:r>
          </w:p>
        </w:tc>
        <w:tc>
          <w:tcPr>
            <w:tcW w:type="dxa" w:w="5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HIGH -- above Art. 9 threshold into Art. 33 zone</w:t>
            </w:r>
          </w:p>
        </w:tc>
      </w:tr>
      <w:tr>
        <w:trPr>
          <w:tblHeader w:val="false"/>
        </w:trPr>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HIFD</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32.7%</w:t>
            </w:r>
          </w:p>
        </w:tc>
        <w:tc>
          <w:tcPr>
            <w:tcW w:type="dxa" w:w="5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32.7% of natural flow withheld downstream</w:t>
            </w:r>
          </w:p>
        </w:tc>
      </w:tr>
      <w:tr>
        <w:trPr>
          <w:tblHeader w:val="false"/>
        </w:trPr>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CI</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0.61 (CRITICAL)</w:t>
            </w:r>
          </w:p>
        </w:tc>
        <w:tc>
          <w:tcPr>
            <w:tcW w:type="dxa" w:w="5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Highest-risk basin in 26-basin registry</w:t>
            </w:r>
          </w:p>
        </w:tc>
      </w:tr>
      <w:tr>
        <w:trPr>
          <w:tblHeader w:val="false"/>
        </w:trPr>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P(Negotiation)</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31%</w:t>
            </w:r>
          </w:p>
        </w:tc>
        <w:tc>
          <w:tcPr>
            <w:tcW w:type="dxa" w:w="5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Low -- PCA Arbitration (Art. 33) recommended</w:t>
            </w:r>
          </w:p>
        </w:tc>
      </w:tr>
      <w:tr>
        <w:trPr>
          <w:tblHeader w:val="false"/>
        </w:trPr>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NSE (HBV-96)</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0.61</w:t>
            </w:r>
          </w:p>
        </w:tc>
        <w:tc>
          <w:tcPr>
            <w:tcW w:type="dxa" w:w="5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Satisfactory (proxy-validated vs GloFAS ERA5 v4)</w:t>
            </w:r>
          </w:p>
        </w:tc>
      </w:tr>
      <w:tr>
        <w:trPr>
          <w:tblHeader w:val="false"/>
        </w:trPr>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ATCI</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90%</w:t>
            </w:r>
          </w:p>
        </w:tc>
        <w:tc>
          <w:tcPr>
            <w:tcW w:type="dxa" w:w="5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9 of 10 UNWC articles triggered</w:t>
            </w:r>
          </w:p>
        </w:tc>
      </w:tr>
    </w:tbl>
    <w:p>
      <w:pPr>
        <w:pBdr>
          <w:top w:val="nil"/>
          <w:left w:val="thick" w:color="553C9A" w:sz="18"/>
          <w:bottom w:val="nil"/>
          <w:right w:val="nil"/>
        </w:pBdr>
        <w:shd w:fill="FAF5FF" w:val="clear"/>
        <w:spacing w:after="60" w:before="60"/>
        <w:ind w:left="280"/>
        <w:jc w:val="left"/>
      </w:pPr>
      <w:r>
        <w:rPr>
          <w:rFonts w:ascii="Arial" w:cs="Arial" w:eastAsia="Arial" w:hAnsi="Arial"/>
          <w:b w:val="false"/>
          <w:bCs w:val="false"/>
          <w:i w:val="false"/>
          <w:iCs w:val="false"/>
          <w:color w:val="44337A"/>
          <w:sz w:val="19"/>
          <w:szCs w:val="19"/>
        </w:rPr>
        <w:t xml:space="preserve">RESULT: Mekong: ATDI=56.5% (Art.33) -- CI=0.61 CRITICAL -- P(Neg.)=31% --&gt; PCA Arbitration -- ATCI=90%</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13.4  Blue Nile vs Mekong Comparison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500"/>
        <w:gridCol w:w="2000"/>
        <w:gridCol w:w="2000"/>
        <w:gridCol w:w="2500"/>
      </w:tblGrid>
      <w:tr>
        <w:trPr>
          <w:tblHeader/>
        </w:trPr>
        <w:tc>
          <w:tcPr>
            <w:tcW w:type="dxa" w:w="2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Metric</w:t>
            </w:r>
          </w:p>
        </w:tc>
        <w:tc>
          <w:tcPr>
            <w:tcW w:type="dxa" w:w="2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Blue Nile (GERD)</w:t>
            </w:r>
          </w:p>
        </w:tc>
        <w:tc>
          <w:tcPr>
            <w:tcW w:type="dxa" w:w="2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Mekong (Xayaburi)</w:t>
            </w:r>
          </w:p>
        </w:tc>
        <w:tc>
          <w:tcPr>
            <w:tcW w:type="dxa" w:w="2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Higher Risk</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ATDI</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43.5% (Art.7-9)</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56.5% (Art.33)</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Mekong</w:t>
            </w:r>
          </w:p>
        </w:tc>
      </w:tr>
      <w:tr>
        <w:trPr>
          <w:tblHeader w:val="false"/>
        </w:trPr>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HIFD</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20.0%</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32.7%</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Mekong</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CI</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0.44 HIGH</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0.61 CRITICAL</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Mekong</w:t>
            </w:r>
          </w:p>
        </w:tc>
      </w:tr>
      <w:tr>
        <w:trPr>
          <w:tblHeader w:val="false"/>
        </w:trPr>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P(Negotiation)</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58% (Mediation)</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31% (Arbitration)</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Blue Nile (better)</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Riparian states</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Mekong (more complex)</w:t>
            </w:r>
          </w:p>
        </w:tc>
      </w:tr>
      <w:tr>
        <w:trPr>
          <w:tblHeader w:val="false"/>
        </w:trPr>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ATCI</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70% (7/10)</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90% (9/10)</w:t>
            </w:r>
          </w:p>
        </w:tc>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Mekong</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Recommended</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 17 Mediation</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PCA Arbitration</w:t>
            </w:r>
          </w:p>
        </w:tc>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w:t>
            </w:r>
          </w:p>
        </w:tc>
      </w:tr>
    </w:tbl>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13.5  GEE Satellite Analysis -- Mekong</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000"/>
        <w:gridCol w:w="6000"/>
      </w:tblGrid>
      <w:tr>
        <w:trPr>
          <w:tblHeader/>
        </w:trPr>
        <w:tc>
          <w:tcPr>
            <w:tcW w:type="dxa" w:w="3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Sensor</w:t>
            </w:r>
          </w:p>
        </w:tc>
        <w:tc>
          <w:tcPr>
            <w:tcW w:type="dxa" w:w="6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Key Finding for Mekong</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GPM IMERG V07</w:t>
            </w:r>
          </w:p>
        </w:tc>
        <w:tc>
          <w:tcPr>
            <w:tcW w:type="dxa" w:w="6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P_mean = 4.21 mm/day vs Blue Nile 1.29 mm/day (3.3x higher)</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GRACE-FO MASCON</w:t>
            </w:r>
          </w:p>
        </w:tc>
        <w:tc>
          <w:tcPr>
            <w:tcW w:type="dxa" w:w="6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TWS anomaly = -18.3 cm -- significant groundwater depletion downstream Xayaburi</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Sentinel-1 GRD</w:t>
            </w:r>
          </w:p>
        </w:tc>
        <w:tc>
          <w:tcPr>
            <w:tcW w:type="dxa" w:w="6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Flood extent: 47,200 km2 -- estimated 23% reduction post-2019</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Sentinel-2 NDWI</w:t>
            </w:r>
          </w:p>
        </w:tc>
        <w:tc>
          <w:tcPr>
            <w:tcW w:type="dxa" w:w="6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Surface water NDWI = 0.44 (lower than pre-dam 0.61)</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SMAP Soil Moisture</w:t>
            </w:r>
          </w:p>
        </w:tc>
        <w:tc>
          <w:tcPr>
            <w:tcW w:type="dxa" w:w="6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SM = 0.28 m3/m3 -- below historical mean in lower basin</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ERA5 Temperature</w:t>
            </w:r>
          </w:p>
        </w:tc>
        <w:tc>
          <w:tcPr>
            <w:tcW w:type="dxa" w:w="6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T_mean = 24.8 C -- warm tropical climate high ET</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Open-Meteo</w:t>
            </w:r>
          </w:p>
        </w:tc>
        <w:tc>
          <w:tcPr>
            <w:tcW w:type="dxa" w:w="6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ET0 = 4.2 mm/day -- high evapotranspiration demand</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MODIS ET</w:t>
            </w:r>
          </w:p>
        </w:tc>
        <w:tc>
          <w:tcPr>
            <w:tcW w:type="dxa" w:w="6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ET_actual = 3.1 mm/day -- moderate actual vs demand</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VIIRS NTL</w:t>
            </w:r>
          </w:p>
        </w:tc>
        <w:tc>
          <w:tcPr>
            <w:tcW w:type="dxa" w:w="6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Increasing economic activity upstream Laos vs downstream Vietnam</w:t>
            </w:r>
          </w:p>
        </w:tc>
      </w:tr>
    </w:tbl>
    <w:p>
      <w:pPr>
        <w:spacing w:after="80"/>
      </w:pPr>
      <w:r>
        <w:t xml:space="preserve"/>
      </w:r>
    </w:p>
    <w:p>
      <w:pPr>
        <w:pStyle w:val="Heading1"/>
        <w:pageBreakBefore/>
        <w:pBdr>
          <w:bottom w:val="single" w:color="0E6B6A" w:sz="6"/>
        </w:pBdr>
        <w:shd w:fill="061F4A" w:val="clear"/>
        <w:spacing w:after="200" w:before="0"/>
        <w:ind w:left="260"/>
      </w:pPr>
      <w:r>
        <w:rPr>
          <w:rFonts w:ascii="Arial" w:cs="Arial" w:eastAsia="Arial" w:hAnsi="Arial"/>
          <w:b/>
          <w:bCs/>
          <w:i w:val="false"/>
          <w:iCs w:val="false"/>
          <w:color w:val="FFFFFF"/>
          <w:sz w:val="28"/>
          <w:szCs w:val="28"/>
        </w:rPr>
        <w:t xml:space="preserve">Chapter 14 -- v6.0.3 Version Changelog &amp; Timeline [NEW]</w:t>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14.1  HSAE Development Timeline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300"/>
        <w:gridCol w:w="2200"/>
        <w:gridCol w:w="1200"/>
        <w:gridCol w:w="4300"/>
      </w:tblGrid>
      <w:tr>
        <w:trPr>
          <w:tblHeader/>
        </w:trPr>
        <w:tc>
          <w:tcPr>
            <w:tcW w:type="dxa" w:w="13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Date</w:t>
            </w:r>
          </w:p>
        </w:tc>
        <w:tc>
          <w:tcPr>
            <w:tcW w:type="dxa" w:w="22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Milestone</w:t>
            </w:r>
          </w:p>
        </w:tc>
        <w:tc>
          <w:tcPr>
            <w:tcW w:type="dxa" w:w="12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Version</w:t>
            </w:r>
          </w:p>
        </w:tc>
        <w:tc>
          <w:tcPr>
            <w:tcW w:type="dxa" w:w="43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Key Deliverable</w:t>
            </w:r>
          </w:p>
        </w:tc>
      </w:tr>
      <w:tr>
        <w:trPr>
          <w:tblHeader w:val="false"/>
        </w:trPr>
        <w:tc>
          <w:tcPr>
            <w:tcW w:type="dxa" w:w="13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March 2026</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First release</w:t>
            </w:r>
          </w:p>
        </w:tc>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w:t>
            </w:r>
          </w:p>
        </w:tc>
        <w:tc>
          <w:tcPr>
            <w:tcW w:type="dxa" w:w="43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13 tools, 5 algorithms, 26 basins</w:t>
            </w:r>
          </w:p>
        </w:tc>
      </w:tr>
      <w:tr>
        <w:trPr>
          <w:tblHeader w:val="false"/>
        </w:trPr>
        <w:tc>
          <w:tcPr>
            <w:tcW w:type="dxa" w:w="13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April 16, 2026</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PR #289 submitted</w:t>
            </w:r>
          </w:p>
        </w:tc>
        <w:tc>
          <w:tcPr>
            <w:tcW w:type="dxa" w:w="1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w:t>
            </w:r>
          </w:p>
        </w:tc>
        <w:tc>
          <w:tcPr>
            <w:tcW w:type="dxa" w:w="43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QGIS PSC review initiated</w:t>
            </w:r>
          </w:p>
        </w:tc>
      </w:tr>
      <w:tr>
        <w:trPr>
          <w:tblHeader w:val="false"/>
        </w:trPr>
        <w:tc>
          <w:tcPr>
            <w:tcW w:type="dxa" w:w="13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April 21, 2026</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Official QGIS publication</w:t>
            </w:r>
          </w:p>
        </w:tc>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6.0.1</w:t>
            </w:r>
          </w:p>
        </w:tc>
        <w:tc>
          <w:tcPr>
            <w:tcW w:type="dxa" w:w="43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Plugin ID 5040 -- approved by zimbogisgeek + Tim Sutton (QGIS PSC)</w:t>
            </w:r>
          </w:p>
        </w:tc>
      </w:tr>
      <w:tr>
        <w:trPr>
          <w:tblHeader w:val="false"/>
        </w:trPr>
        <w:tc>
          <w:tcPr>
            <w:tcW w:type="dxa" w:w="13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April 21, 2026</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31 downloads day one</w:t>
            </w:r>
          </w:p>
        </w:tc>
        <w:tc>
          <w:tcPr>
            <w:tcW w:type="dxa" w:w="1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6.0.1</w:t>
            </w:r>
          </w:p>
        </w:tc>
        <w:tc>
          <w:tcPr>
            <w:tcW w:type="dxa" w:w="43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Immediate community adoption</w:t>
            </w:r>
          </w:p>
        </w:tc>
      </w:tr>
      <w:tr>
        <w:trPr>
          <w:tblHeader w:val="false"/>
        </w:trPr>
        <w:tc>
          <w:tcPr>
            <w:tcW w:type="dxa" w:w="13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April 22, 2026</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Manual v4</w:t>
            </w:r>
          </w:p>
        </w:tc>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6.0.1</w:t>
            </w:r>
          </w:p>
        </w:tc>
        <w:tc>
          <w:tcPr>
            <w:tcW w:type="dxa" w:w="43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Chapter 11 -- QGIS Desktop workflow</w:t>
            </w:r>
          </w:p>
        </w:tc>
      </w:tr>
      <w:tr>
        <w:trPr>
          <w:tblHeader w:val="false"/>
        </w:trPr>
        <w:tc>
          <w:tcPr>
            <w:tcW w:type="dxa" w:w="13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April 22, 2026</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Security audit passed</w:t>
            </w:r>
          </w:p>
        </w:tc>
        <w:tc>
          <w:tcPr>
            <w:tcW w:type="dxa" w:w="1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6.0.1</w:t>
            </w:r>
          </w:p>
        </w:tc>
        <w:tc>
          <w:tcPr>
            <w:tcW w:type="dxa" w:w="43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 Critical, 0 Warnings, 76 files</w:t>
            </w:r>
          </w:p>
        </w:tc>
      </w:tr>
      <w:tr>
        <w:trPr>
          <w:tblHeader w:val="false"/>
        </w:trPr>
        <w:tc>
          <w:tcPr>
            <w:tcW w:type="dxa" w:w="13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April 22, 2026</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SoftwareX submission</w:t>
            </w:r>
          </w:p>
        </w:tc>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6.0.1</w:t>
            </w:r>
          </w:p>
        </w:tc>
        <w:tc>
          <w:tcPr>
            <w:tcW w:type="dxa" w:w="43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SOFTX-D-26-00442 submitted to Elsevier</w:t>
            </w:r>
          </w:p>
        </w:tc>
      </w:tr>
      <w:tr>
        <w:trPr>
          <w:tblHeader w:val="false"/>
        </w:trPr>
        <w:tc>
          <w:tcPr>
            <w:tcW w:type="dxa" w:w="13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April 24, 2026</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Performance update</w:t>
            </w:r>
          </w:p>
        </w:tc>
        <w:tc>
          <w:tcPr>
            <w:tcW w:type="dxa" w:w="1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6.0.2</w:t>
            </w:r>
          </w:p>
        </w:tc>
        <w:tc>
          <w:tcPr>
            <w:tcW w:type="dxa" w:w="43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Removed telegram-bot (-15s cold start), cache fix</w:t>
            </w:r>
          </w:p>
        </w:tc>
      </w:tr>
      <w:tr>
        <w:trPr>
          <w:tblHeader w:val="false"/>
        </w:trPr>
        <w:tc>
          <w:tcPr>
            <w:tcW w:type="dxa" w:w="13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April 24, 2026</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Manual v5</w:t>
            </w:r>
          </w:p>
        </w:tc>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6.0.2</w:t>
            </w:r>
          </w:p>
        </w:tc>
        <w:tc>
          <w:tcPr>
            <w:tcW w:type="dxa" w:w="43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Complete: 13 chapters + 5 appendices (61 KB)</w:t>
            </w:r>
          </w:p>
        </w:tc>
      </w:tr>
      <w:tr>
        <w:trPr>
          <w:tblHeader w:val="false"/>
        </w:trPr>
        <w:tc>
          <w:tcPr>
            <w:tcW w:type="dxa" w:w="13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April 24, 2026</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Interactive map</w:t>
            </w:r>
          </w:p>
        </w:tc>
        <w:tc>
          <w:tcPr>
            <w:tcW w:type="dxa" w:w="1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6.0.3</w:t>
            </w:r>
          </w:p>
        </w:tc>
        <w:tc>
          <w:tcPr>
            <w:tcW w:type="dxa" w:w="43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14: Leaflet.js inside QGIS (QWebEngineView)</w:t>
            </w:r>
          </w:p>
        </w:tc>
      </w:tr>
      <w:tr>
        <w:trPr>
          <w:tblHeader w:val="false"/>
        </w:trPr>
        <w:tc>
          <w:tcPr>
            <w:tcW w:type="dxa" w:w="13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April 24, 2026</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Uncertainty analysis</w:t>
            </w:r>
          </w:p>
        </w:tc>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6.0.3</w:t>
            </w:r>
          </w:p>
        </w:tc>
        <w:tc>
          <w:tcPr>
            <w:tcW w:type="dxa" w:w="43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15: Monte Carlo 95% CI + Sobol sensitivity</w:t>
            </w:r>
          </w:p>
        </w:tc>
      </w:tr>
      <w:tr>
        <w:trPr>
          <w:tblHeader w:val="false"/>
        </w:trPr>
        <w:tc>
          <w:tcPr>
            <w:tcW w:type="dxa" w:w="13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April 24, 2026</w:t>
            </w:r>
          </w:p>
        </w:tc>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Treaty compliance</w:t>
            </w:r>
          </w:p>
        </w:tc>
        <w:tc>
          <w:tcPr>
            <w:tcW w:type="dxa" w:w="1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6.0.3</w:t>
            </w:r>
          </w:p>
        </w:tc>
        <w:tc>
          <w:tcPr>
            <w:tcW w:type="dxa" w:w="43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Tool 16: ATCI -- 10 UNWC articles automated</w:t>
            </w:r>
          </w:p>
        </w:tc>
      </w:tr>
      <w:tr>
        <w:trPr>
          <w:tblHeader w:val="false"/>
        </w:trPr>
        <w:tc>
          <w:tcPr>
            <w:tcW w:type="dxa" w:w="13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April 24, 2026</w:t>
            </w:r>
          </w:p>
        </w:tc>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Manual v6</w:t>
            </w:r>
          </w:p>
        </w:tc>
        <w:tc>
          <w:tcPr>
            <w:tcW w:type="dxa" w:w="1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6.0.3</w:t>
            </w:r>
          </w:p>
        </w:tc>
        <w:tc>
          <w:tcPr>
            <w:tcW w:type="dxa" w:w="43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Complete rebuild: 15 chapters, XML schema fixed, Arabic Quick Start</w:t>
            </w:r>
          </w:p>
        </w:tc>
      </w:tr>
    </w:tbl>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14.2  v6.0.1 to v6.0.3 Feature Comparison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000"/>
        <w:gridCol w:w="2000"/>
        <w:gridCol w:w="2000"/>
        <w:gridCol w:w="3000"/>
      </w:tblGrid>
      <w:tr>
        <w:trPr>
          <w:tblHeader/>
        </w:trPr>
        <w:tc>
          <w:tcPr>
            <w:tcW w:type="dxa" w:w="2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Component</w:t>
            </w:r>
          </w:p>
        </w:tc>
        <w:tc>
          <w:tcPr>
            <w:tcW w:type="dxa" w:w="2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v6.0.1</w:t>
            </w:r>
          </w:p>
        </w:tc>
        <w:tc>
          <w:tcPr>
            <w:tcW w:type="dxa" w:w="2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v6.0.2</w:t>
            </w:r>
          </w:p>
        </w:tc>
        <w:tc>
          <w:tcPr>
            <w:tcW w:type="dxa" w:w="3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v6.0.3</w:t>
            </w:r>
          </w:p>
        </w:tc>
      </w:tr>
      <w:tr>
        <w:trPr>
          <w:tblHeader w:val="false"/>
        </w:trPr>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Total Tools</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13</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13</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16 (+3 new)</w:t>
            </w:r>
          </w:p>
        </w:tc>
      </w:tr>
      <w:tr>
        <w:trPr>
          <w:tblHeader w:val="false"/>
        </w:trPr>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Files in ZIP</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22</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26</w:t>
            </w:r>
          </w:p>
        </w:tc>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29</w:t>
            </w:r>
          </w:p>
        </w:tc>
      </w:tr>
      <w:tr>
        <w:trPr>
          <w:tblHeader w:val="false"/>
        </w:trPr>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Interactive Map in QGIS</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No</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No</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Yes (Tool 14 QWebEngineView)</w:t>
            </w:r>
          </w:p>
        </w:tc>
      </w:tr>
      <w:tr>
        <w:trPr>
          <w:tblHeader w:val="false"/>
        </w:trPr>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Uncertainty Analysis</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No</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No</w:t>
            </w:r>
          </w:p>
        </w:tc>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Yes (Tool 15 Monte Carlo + Sobol)</w:t>
            </w:r>
          </w:p>
        </w:tc>
      </w:tr>
      <w:tr>
        <w:trPr>
          <w:tblHeader w:val="false"/>
        </w:trPr>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Treaty Compliance ATCI</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No</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No</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Yes (Tool 16)</w:t>
            </w:r>
          </w:p>
        </w:tc>
      </w:tr>
      <w:tr>
        <w:trPr>
          <w:tblHeader w:val="false"/>
        </w:trPr>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Manual size</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v1-v4 (basic)</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v5 (61 KB, 13 ch.)</w:t>
            </w:r>
          </w:p>
        </w:tc>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v6 (90+ KB, 15 ch.)</w:t>
            </w:r>
          </w:p>
        </w:tc>
      </w:tr>
      <w:tr>
        <w:trPr>
          <w:tblHeader w:val="false"/>
        </w:trPr>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Cold start time</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~60 sec</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~45 sec</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~45 sec (no telegram-bot)</w:t>
            </w:r>
          </w:p>
        </w:tc>
      </w:tr>
      <w:tr>
        <w:trPr>
          <w:tblHeader w:val="false"/>
        </w:trPr>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Icon</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350 bytes (corrupt)</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1,253 bytes (fixed)</w:t>
            </w:r>
          </w:p>
        </w:tc>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1,359 bytes (enhanced)</w:t>
            </w:r>
          </w:p>
        </w:tc>
      </w:tr>
      <w:tr>
        <w:trPr>
          <w:tblHeader w:val="false"/>
        </w:trPr>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XML schema</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Not checked</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Fixed partial</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Fully OOXML-compliant</w:t>
            </w:r>
          </w:p>
        </w:tc>
      </w:tr>
    </w:tbl>
    <w:p>
      <w:pPr>
        <w:spacing w:after="80"/>
      </w:pPr>
      <w:r>
        <w:t xml:space="preserve"/>
      </w:r>
    </w:p>
    <w:p>
      <w:pPr>
        <w:pStyle w:val="Heading1"/>
        <w:pageBreakBefore/>
        <w:pBdr>
          <w:bottom w:val="single" w:color="0E6B6A" w:sz="6"/>
        </w:pBdr>
        <w:shd w:fill="061F4A" w:val="clear"/>
        <w:spacing w:after="200" w:before="0"/>
        <w:ind w:left="260"/>
      </w:pPr>
      <w:r>
        <w:rPr>
          <w:rFonts w:ascii="Arial" w:cs="Arial" w:eastAsia="Arial" w:hAnsi="Arial"/>
          <w:b/>
          <w:bCs/>
          <w:i w:val="false"/>
          <w:iCs w:val="false"/>
          <w:color w:val="FFFFFF"/>
          <w:sz w:val="28"/>
          <w:szCs w:val="28"/>
        </w:rPr>
        <w:t xml:space="preserve">Chapter 15 -- Legal Disclaimers &amp; Data Limitations [NEW]</w:t>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15.1  Nature of HSAE Assessments</w:t>
      </w:r>
    </w:p>
    <w:p>
      <w:pPr>
        <w:spacing w:after="85" w:before="0"/>
        <w:jc w:val="left"/>
      </w:pPr>
      <w:r>
        <w:rPr>
          <w:rFonts w:ascii="Arial" w:cs="Arial" w:eastAsia="Arial" w:hAnsi="Arial"/>
          <w:b w:val="false"/>
          <w:bCs w:val="false"/>
          <w:i w:val="false"/>
          <w:iCs w:val="false"/>
          <w:color w:val="1A202C"/>
          <w:sz w:val="20"/>
          <w:szCs w:val="20"/>
        </w:rPr>
        <w:t xml:space="preserve">HSAE v6.0.3 provides indicator-based assessments from publicly available satellite data and peer-reviewed hydrological models. The following limitations apply to ALL outputs:</w:t>
      </w:r>
    </w:p>
    <w:p>
      <w:pPr>
        <w:pStyle w:val="ListParagraph"/>
        <w:numPr>
          <w:ilvl w:val="0"/>
          <w:numId w:val="3"/>
        </w:numPr>
        <w:spacing w:after="55"/>
      </w:pPr>
      <w:r>
        <w:rPr>
          <w:rFonts w:ascii="Arial" w:cs="Arial" w:eastAsia="Arial" w:hAnsi="Arial"/>
          <w:b w:val="false"/>
          <w:bCs w:val="false"/>
          <w:i w:val="false"/>
          <w:iCs w:val="false"/>
          <w:color w:val="1A202C"/>
          <w:sz w:val="20"/>
          <w:szCs w:val="20"/>
        </w:rPr>
        <w:t xml:space="preserve">HSAE indices (ATDI, HIFD, AFSF, AHLB, ASI, ATCI) are screening tools, not legal instruments</w:t>
      </w:r>
    </w:p>
    <w:p>
      <w:pPr>
        <w:pStyle w:val="ListParagraph"/>
        <w:numPr>
          <w:ilvl w:val="0"/>
          <w:numId w:val="3"/>
        </w:numPr>
        <w:spacing w:after="55"/>
      </w:pPr>
      <w:r>
        <w:rPr>
          <w:rFonts w:ascii="Arial" w:cs="Arial" w:eastAsia="Arial" w:hAnsi="Arial"/>
          <w:b w:val="false"/>
          <w:bCs w:val="false"/>
          <w:i w:val="false"/>
          <w:iCs w:val="false"/>
          <w:color w:val="1A202C"/>
          <w:sz w:val="20"/>
          <w:szCs w:val="20"/>
        </w:rPr>
        <w:t xml:space="preserve">ATCI treaty compliance scores are automated screenings -- not legal determinations by courts</w:t>
      </w:r>
    </w:p>
    <w:p>
      <w:pPr>
        <w:pStyle w:val="ListParagraph"/>
        <w:numPr>
          <w:ilvl w:val="0"/>
          <w:numId w:val="3"/>
        </w:numPr>
        <w:spacing w:after="55"/>
      </w:pPr>
      <w:r>
        <w:rPr>
          <w:rFonts w:ascii="Arial" w:cs="Arial" w:eastAsia="Arial" w:hAnsi="Arial"/>
          <w:b w:val="false"/>
          <w:bCs w:val="false"/>
          <w:i w:val="false"/>
          <w:iCs w:val="false"/>
          <w:color w:val="1A202C"/>
          <w:sz w:val="20"/>
          <w:szCs w:val="20"/>
        </w:rPr>
        <w:t xml:space="preserve">NSE=0.63 and KGE=0.74 are proxy-validated against GloFAS ERA5 v4, not direct gauge measurements</w:t>
      </w:r>
    </w:p>
    <w:p>
      <w:pPr>
        <w:pStyle w:val="ListParagraph"/>
        <w:numPr>
          <w:ilvl w:val="0"/>
          <w:numId w:val="3"/>
        </w:numPr>
        <w:spacing w:after="55"/>
      </w:pPr>
      <w:r>
        <w:rPr>
          <w:rFonts w:ascii="Arial" w:cs="Arial" w:eastAsia="Arial" w:hAnsi="Arial"/>
          <w:b w:val="false"/>
          <w:bCs w:val="false"/>
          <w:i w:val="false"/>
          <w:iCs w:val="false"/>
          <w:color w:val="1A202C"/>
          <w:sz w:val="20"/>
          <w:szCs w:val="20"/>
        </w:rPr>
        <w:t xml:space="preserve">All outputs should be reviewed by qualified international water law experts before use in formal proceedings</w:t>
      </w:r>
    </w:p>
    <w:p>
      <w:pPr>
        <w:pStyle w:val="ListParagraph"/>
        <w:numPr>
          <w:ilvl w:val="0"/>
          <w:numId w:val="3"/>
        </w:numPr>
        <w:spacing w:after="55"/>
      </w:pPr>
      <w:r>
        <w:rPr>
          <w:rFonts w:ascii="Arial" w:cs="Arial" w:eastAsia="Arial" w:hAnsi="Arial"/>
          <w:b w:val="false"/>
          <w:bCs w:val="false"/>
          <w:i w:val="false"/>
          <w:iCs w:val="false"/>
          <w:color w:val="1A202C"/>
          <w:sz w:val="20"/>
          <w:szCs w:val="20"/>
        </w:rPr>
        <w:t xml:space="preserve">Historical negotiation outcomes in the Negotiation AI training set do not guarantee future outcomes</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15.2  Data Limitations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500"/>
        <w:gridCol w:w="3500"/>
        <w:gridCol w:w="3000"/>
      </w:tblGrid>
      <w:tr>
        <w:trPr>
          <w:tblHeader/>
        </w:trPr>
        <w:tc>
          <w:tcPr>
            <w:tcW w:type="dxa" w:w="2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Data Source</w:t>
            </w:r>
          </w:p>
        </w:tc>
        <w:tc>
          <w:tcPr>
            <w:tcW w:type="dxa" w:w="3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Limitation</w:t>
            </w:r>
          </w:p>
        </w:tc>
        <w:tc>
          <w:tcPr>
            <w:tcW w:type="dxa" w:w="3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Impact</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GRDC discharge data</w:t>
            </w:r>
          </w:p>
        </w:tc>
        <w:tc>
          <w:tcPr>
            <w:tcW w:type="dxa" w:w="3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El Diem restricted -- pending Request 78949</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NSE limited to 0.63 proxy vs target 0.70+</w:t>
            </w:r>
          </w:p>
        </w:tc>
      </w:tr>
      <w:tr>
        <w:trPr>
          <w:tblHeader w:val="false"/>
        </w:trPr>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GloFAS ERA5 v4</w:t>
            </w:r>
          </w:p>
        </w:tc>
        <w:tc>
          <w:tcPr>
            <w:tcW w:type="dxa" w:w="3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Reanalysis product -- not direct observation</w:t>
            </w:r>
          </w:p>
        </w:tc>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Proxy uncertainty: ATDI CI [39.2%-47.8%]</w:t>
            </w:r>
          </w:p>
        </w:tc>
      </w:tr>
      <w:tr>
        <w:trPr>
          <w:tblHeader w:val="false"/>
        </w:trPr>
        <w:tc>
          <w:tcPr>
            <w:tcW w:type="dxa" w:w="2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GPM IMERG V07</w:t>
            </w:r>
          </w:p>
        </w:tc>
        <w:tc>
          <w:tcPr>
            <w:tcW w:type="dxa" w:w="3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0.1 deg resolution -- misses local extremes</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Affects runoff calculation accuracy</w:t>
            </w:r>
          </w:p>
        </w:tc>
      </w:tr>
      <w:tr>
        <w:trPr>
          <w:tblHeader w:val="false"/>
        </w:trPr>
        <w:tc>
          <w:tcPr>
            <w:tcW w:type="dxa" w:w="2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GRACE-FO MASCON</w:t>
            </w:r>
          </w:p>
        </w:tc>
        <w:tc>
          <w:tcPr>
            <w:tcW w:type="dxa" w:w="3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Monthly temporal -- misses sub-monthly variations</w:t>
            </w:r>
          </w:p>
        </w:tc>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TWS trend reliable; sub-monthly uncertain</w:t>
            </w:r>
          </w:p>
        </w:tc>
      </w:tr>
    </w:tbl>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15.3  Recommended Use</w:t>
      </w:r>
    </w:p>
    <w:p>
      <w:pPr>
        <w:pStyle w:val="ListParagraph"/>
        <w:numPr>
          <w:ilvl w:val="0"/>
          <w:numId w:val="3"/>
        </w:numPr>
        <w:spacing w:after="55"/>
      </w:pPr>
      <w:r>
        <w:rPr>
          <w:rFonts w:ascii="Arial" w:cs="Arial" w:eastAsia="Arial" w:hAnsi="Arial"/>
          <w:b/>
          <w:bCs/>
          <w:i w:val="false"/>
          <w:iCs w:val="false"/>
          <w:color w:val="061F4A"/>
          <w:sz w:val="20"/>
          <w:szCs w:val="20"/>
        </w:rPr>
        <w:t xml:space="preserve">Appropriate: </w:t>
      </w:r>
      <w:r>
        <w:rPr>
          <w:rFonts w:ascii="Arial" w:cs="Arial" w:eastAsia="Arial" w:hAnsi="Arial"/>
          <w:b w:val="false"/>
          <w:bCs w:val="false"/>
          <w:i w:val="false"/>
          <w:iCs w:val="false"/>
          <w:color w:val="1A202C"/>
          <w:sz w:val="20"/>
          <w:szCs w:val="20"/>
        </w:rPr>
        <w:t xml:space="preserve">Preliminary screening of transboundary water risk for research</w:t>
      </w:r>
    </w:p>
    <w:p>
      <w:pPr>
        <w:pStyle w:val="ListParagraph"/>
        <w:numPr>
          <w:ilvl w:val="0"/>
          <w:numId w:val="3"/>
        </w:numPr>
        <w:spacing w:after="55"/>
      </w:pPr>
      <w:r>
        <w:rPr>
          <w:rFonts w:ascii="Arial" w:cs="Arial" w:eastAsia="Arial" w:hAnsi="Arial"/>
          <w:b/>
          <w:bCs/>
          <w:i w:val="false"/>
          <w:iCs w:val="false"/>
          <w:color w:val="061F4A"/>
          <w:sz w:val="20"/>
          <w:szCs w:val="20"/>
        </w:rPr>
        <w:t xml:space="preserve">Appropriate: </w:t>
      </w:r>
      <w:r>
        <w:rPr>
          <w:rFonts w:ascii="Arial" w:cs="Arial" w:eastAsia="Arial" w:hAnsi="Arial"/>
          <w:b w:val="false"/>
          <w:bCs w:val="false"/>
          <w:i w:val="false"/>
          <w:iCs w:val="false"/>
          <w:color w:val="1A202C"/>
          <w:sz w:val="20"/>
          <w:szCs w:val="20"/>
        </w:rPr>
        <w:t xml:space="preserve">Supporting evidence for academic publications with proper uncertainty disclosure</w:t>
      </w:r>
    </w:p>
    <w:p>
      <w:pPr>
        <w:pStyle w:val="ListParagraph"/>
        <w:numPr>
          <w:ilvl w:val="0"/>
          <w:numId w:val="3"/>
        </w:numPr>
        <w:spacing w:after="55"/>
      </w:pPr>
      <w:r>
        <w:rPr>
          <w:rFonts w:ascii="Arial" w:cs="Arial" w:eastAsia="Arial" w:hAnsi="Arial"/>
          <w:b/>
          <w:bCs/>
          <w:i w:val="false"/>
          <w:iCs w:val="false"/>
          <w:color w:val="061F4A"/>
          <w:sz w:val="20"/>
          <w:szCs w:val="20"/>
        </w:rPr>
        <w:t xml:space="preserve">Appropriate: </w:t>
      </w:r>
      <w:r>
        <w:rPr>
          <w:rFonts w:ascii="Arial" w:cs="Arial" w:eastAsia="Arial" w:hAnsi="Arial"/>
          <w:b w:val="false"/>
          <w:bCs w:val="false"/>
          <w:i w:val="false"/>
          <w:iCs w:val="false"/>
          <w:color w:val="1A202C"/>
          <w:sz w:val="20"/>
          <w:szCs w:val="20"/>
        </w:rPr>
        <w:t xml:space="preserve">Training and educational purposes in hydrology and water law</w:t>
      </w:r>
    </w:p>
    <w:p>
      <w:pPr>
        <w:pStyle w:val="ListParagraph"/>
        <w:numPr>
          <w:ilvl w:val="0"/>
          <w:numId w:val="3"/>
        </w:numPr>
        <w:spacing w:after="55"/>
      </w:pPr>
      <w:r>
        <w:rPr>
          <w:rFonts w:ascii="Arial" w:cs="Arial" w:eastAsia="Arial" w:hAnsi="Arial"/>
          <w:b/>
          <w:bCs/>
          <w:i w:val="false"/>
          <w:iCs w:val="false"/>
          <w:color w:val="061F4A"/>
          <w:sz w:val="20"/>
          <w:szCs w:val="20"/>
        </w:rPr>
        <w:t xml:space="preserve">Requires expert review: </w:t>
      </w:r>
      <w:r>
        <w:rPr>
          <w:rFonts w:ascii="Arial" w:cs="Arial" w:eastAsia="Arial" w:hAnsi="Arial"/>
          <w:b w:val="false"/>
          <w:bCs w:val="false"/>
          <w:i w:val="false"/>
          <w:iCs w:val="false"/>
          <w:color w:val="1A202C"/>
          <w:sz w:val="20"/>
          <w:szCs w:val="20"/>
        </w:rPr>
        <w:t xml:space="preserve">Any use in formal diplomatic negotiations or treaty discussions</w:t>
      </w:r>
    </w:p>
    <w:p>
      <w:pPr>
        <w:pStyle w:val="ListParagraph"/>
        <w:numPr>
          <w:ilvl w:val="0"/>
          <w:numId w:val="3"/>
        </w:numPr>
        <w:spacing w:after="55"/>
      </w:pPr>
      <w:r>
        <w:rPr>
          <w:rFonts w:ascii="Arial" w:cs="Arial" w:eastAsia="Arial" w:hAnsi="Arial"/>
          <w:b/>
          <w:bCs/>
          <w:i w:val="false"/>
          <w:iCs w:val="false"/>
          <w:color w:val="061F4A"/>
          <w:sz w:val="20"/>
          <w:szCs w:val="20"/>
        </w:rPr>
        <w:t xml:space="preserve">Requires legal counsel: </w:t>
      </w:r>
      <w:r>
        <w:rPr>
          <w:rFonts w:ascii="Arial" w:cs="Arial" w:eastAsia="Arial" w:hAnsi="Arial"/>
          <w:b w:val="false"/>
          <w:bCs w:val="false"/>
          <w:i w:val="false"/>
          <w:iCs w:val="false"/>
          <w:color w:val="1A202C"/>
          <w:sz w:val="20"/>
          <w:szCs w:val="20"/>
        </w:rPr>
        <w:t xml:space="preserve">Any use as evidence in ICJ, PCA, ITLOS, or other legal proceedings</w:t>
      </w:r>
    </w:p>
    <w:p>
      <w:pPr>
        <w:spacing w:after="80"/>
      </w:pPr>
      <w:r>
        <w:t xml:space="preserve"/>
      </w:r>
    </w:p>
    <w:p>
      <w:pPr>
        <w:pStyle w:val="Heading2"/>
        <w:pBdr>
          <w:bottom w:val="single" w:color="0B3D8E" w:sz="3"/>
        </w:pBdr>
        <w:spacing w:after="80" w:before="160"/>
      </w:pPr>
      <w:r>
        <w:rPr>
          <w:rFonts w:ascii="Arial" w:cs="Arial" w:eastAsia="Arial" w:hAnsi="Arial"/>
          <w:b/>
          <w:bCs/>
          <w:i w:val="false"/>
          <w:iCs w:val="false"/>
          <w:color w:val="061F4A"/>
          <w:sz w:val="24"/>
          <w:szCs w:val="24"/>
        </w:rPr>
        <w:t xml:space="preserve">15.4  Data Integrity</w:t>
      </w:r>
    </w:p>
    <w:p>
      <w:pPr>
        <w:spacing w:after="85" w:before="0"/>
        <w:jc w:val="left"/>
      </w:pPr>
      <w:r>
        <w:rPr>
          <w:rFonts w:ascii="Arial" w:cs="Arial" w:eastAsia="Arial" w:hAnsi="Arial"/>
          <w:b/>
          <w:bCs/>
          <w:i w:val="false"/>
          <w:iCs w:val="false"/>
          <w:color w:val="061F4A"/>
          <w:sz w:val="20"/>
          <w:szCs w:val="20"/>
        </w:rPr>
        <w:t xml:space="preserve">SHA-256 audit chain: </w:t>
      </w:r>
      <w:r>
        <w:rPr>
          <w:rFonts w:ascii="Arial" w:cs="Arial" w:eastAsia="Arial" w:hAnsi="Arial"/>
          <w:b w:val="false"/>
          <w:bCs w:val="false"/>
          <w:i w:val="false"/>
          <w:iCs w:val="false"/>
          <w:color w:val="1A202C"/>
          <w:sz w:val="20"/>
          <w:szCs w:val="20"/>
        </w:rPr>
        <w:t xml:space="preserve">All HSAE computations in the ICJ/PCA Dossier are cryptographically signed with SHA-256 hashes to ensure data integrity and chain of custody (implemented in audit_engine.py). Any alteration of input data or computed results can be detected.</w:t>
      </w:r>
    </w:p>
    <w:p>
      <w:pPr>
        <w:spacing w:after="80"/>
      </w:pPr>
      <w:r>
        <w:t xml:space="preserve"/>
      </w:r>
    </w:p>
    <w:p>
      <w:pPr>
        <w:pStyle w:val="Heading1"/>
        <w:pageBreakBefore/>
        <w:pBdr>
          <w:bottom w:val="single" w:color="0E6B6A" w:sz="6"/>
        </w:pBdr>
        <w:shd w:fill="061F4A" w:val="clear"/>
        <w:spacing w:after="200" w:before="0"/>
        <w:ind w:left="260"/>
      </w:pPr>
      <w:r>
        <w:rPr>
          <w:rFonts w:ascii="Arial" w:cs="Arial" w:eastAsia="Arial" w:hAnsi="Arial"/>
          <w:b/>
          <w:bCs/>
          <w:i w:val="false"/>
          <w:iCs w:val="false"/>
          <w:color w:val="FFFFFF"/>
          <w:sz w:val="28"/>
          <w:szCs w:val="28"/>
        </w:rPr>
        <w:t xml:space="preserve">Appendix A -- Glossary of Terms (24 Terms)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200"/>
        <w:gridCol w:w="6800"/>
      </w:tblGrid>
      <w:tr>
        <w:trPr>
          <w:tblHeader/>
        </w:trPr>
        <w:tc>
          <w:tcPr>
            <w:tcW w:type="dxa" w:w="22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Term</w:t>
            </w:r>
          </w:p>
        </w:tc>
        <w:tc>
          <w:tcPr>
            <w:tcW w:type="dxa" w:w="68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Definition</w:t>
            </w:r>
          </w:p>
        </w:tc>
      </w:tr>
      <w:tr>
        <w:trPr>
          <w:tblHeader w:val="false"/>
        </w:trPr>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ATDI</w:t>
            </w:r>
          </w:p>
        </w:tc>
        <w:tc>
          <w:tcPr>
            <w:tcW w:type="dxa" w:w="6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Alkedir Transparency Deficit Index -- daily compliance indicator (0-100%)</w:t>
            </w:r>
          </w:p>
        </w:tc>
      </w:tr>
      <w:tr>
        <w:trPr>
          <w:tblHeader w:val="false"/>
        </w:trPr>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HIFD / AHIFD</w:t>
            </w:r>
          </w:p>
        </w:tc>
        <w:tc>
          <w:tcPr>
            <w:tcW w:type="dxa" w:w="6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Human-Induced Flow Deficit -- annual volumetric flow reduction (0-100%)</w:t>
            </w:r>
          </w:p>
        </w:tc>
      </w:tr>
      <w:tr>
        <w:trPr>
          <w:tblHeader w:val="false"/>
        </w:trPr>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AFSF</w:t>
            </w:r>
          </w:p>
        </w:tc>
        <w:tc>
          <w:tcPr>
            <w:tcW w:type="dxa" w:w="6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Alkedir Forensic Signal Factor -- separates anthropogenic from natural hydrological signals</w:t>
            </w:r>
          </w:p>
        </w:tc>
      </w:tr>
      <w:tr>
        <w:trPr>
          <w:tblHeader w:val="false"/>
        </w:trPr>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AHLB</w:t>
            </w:r>
          </w:p>
        </w:tc>
        <w:tc>
          <w:tcPr>
            <w:tcW w:type="dxa" w:w="6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Alkedir HBV-Legal Bridge -- connects HBV-96 physics directly to UNWC 1997 article flags</w:t>
            </w:r>
          </w:p>
        </w:tc>
      </w:tr>
      <w:tr>
        <w:trPr>
          <w:tblHeader w:val="false"/>
        </w:trPr>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ASI</w:t>
            </w:r>
          </w:p>
        </w:tc>
        <w:tc>
          <w:tcPr>
            <w:tcW w:type="dxa" w:w="6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Alkedir Sovereignty Index -- composite governance metric aggregating ATDI and AHIFD</w:t>
            </w:r>
          </w:p>
        </w:tc>
      </w:tr>
      <w:tr>
        <w:trPr>
          <w:tblHeader w:val="false"/>
        </w:trPr>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ATCI</w:t>
            </w:r>
          </w:p>
        </w:tc>
        <w:tc>
          <w:tcPr>
            <w:tcW w:type="dxa" w:w="6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Alkedir Treaty Compliance Index -- (triggered articles / total) x 100%</w:t>
            </w:r>
          </w:p>
        </w:tc>
      </w:tr>
      <w:tr>
        <w:trPr>
          <w:tblHeader w:val="false"/>
        </w:trPr>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CI</w:t>
            </w:r>
          </w:p>
        </w:tc>
        <w:tc>
          <w:tcPr>
            <w:tcW w:type="dxa" w:w="6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Conflict Index -- composite governance risk score (0-1)</w:t>
            </w:r>
          </w:p>
        </w:tc>
      </w:tr>
      <w:tr>
        <w:trPr>
          <w:tblHeader w:val="false"/>
        </w:trPr>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UNWC</w:t>
            </w:r>
          </w:p>
        </w:tc>
        <w:tc>
          <w:tcPr>
            <w:tcW w:type="dxa" w:w="6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UN Watercourses Convention 1997 -- 33 articles on international water law</w:t>
            </w:r>
          </w:p>
        </w:tc>
      </w:tr>
      <w:tr>
        <w:trPr>
          <w:tblHeader w:val="false"/>
        </w:trPr>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GEE</w:t>
            </w:r>
          </w:p>
        </w:tc>
        <w:tc>
          <w:tcPr>
            <w:tcW w:type="dxa" w:w="6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Google Earth Engine -- cloud-based geospatial analysis platform</w:t>
            </w:r>
          </w:p>
        </w:tc>
      </w:tr>
      <w:tr>
        <w:trPr>
          <w:tblHeader w:val="false"/>
        </w:trPr>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HBV-96</w:t>
            </w:r>
          </w:p>
        </w:tc>
        <w:tc>
          <w:tcPr>
            <w:tcW w:type="dxa" w:w="6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Rainfall-runoff model (Bergstrom 1992) -- 9 calibrated parameters</w:t>
            </w:r>
          </w:p>
        </w:tc>
      </w:tr>
      <w:tr>
        <w:trPr>
          <w:tblHeader w:val="false"/>
        </w:trPr>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SCE-UA</w:t>
            </w:r>
          </w:p>
        </w:tc>
        <w:tc>
          <w:tcPr>
            <w:tcW w:type="dxa" w:w="6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Shuffled Complex Evolution -- global optimisation algorithm (Duan et al. 1993)</w:t>
            </w:r>
          </w:p>
        </w:tc>
      </w:tr>
      <w:tr>
        <w:trPr>
          <w:tblHeader w:val="false"/>
        </w:trPr>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NSE</w:t>
            </w:r>
          </w:p>
        </w:tc>
        <w:tc>
          <w:tcPr>
            <w:tcW w:type="dxa" w:w="6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Nash-Sutcliffe Efficiency -- model performance metric (1.0 = perfect)</w:t>
            </w:r>
          </w:p>
        </w:tc>
      </w:tr>
      <w:tr>
        <w:trPr>
          <w:tblHeader w:val="false"/>
        </w:trPr>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KGE</w:t>
            </w:r>
          </w:p>
        </w:tc>
        <w:tc>
          <w:tcPr>
            <w:tcW w:type="dxa" w:w="6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Kling-Gupta Efficiency -- decomposed performance metric for bias, variability, correlation</w:t>
            </w:r>
          </w:p>
        </w:tc>
      </w:tr>
      <w:tr>
        <w:trPr>
          <w:tblHeader w:val="false"/>
        </w:trPr>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GRDC</w:t>
            </w:r>
          </w:p>
        </w:tc>
        <w:tc>
          <w:tcPr>
            <w:tcW w:type="dxa" w:w="6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Global Runoff Data Centre -- BfG Koblenz, Germany</w:t>
            </w:r>
          </w:p>
        </w:tc>
      </w:tr>
      <w:tr>
        <w:trPr>
          <w:tblHeader w:val="false"/>
        </w:trPr>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EnKF</w:t>
            </w:r>
          </w:p>
        </w:tc>
        <w:tc>
          <w:tcPr>
            <w:tcW w:type="dxa" w:w="6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Ensemble Kalman Filter -- Digital Twin state estimation (n=200 members)</w:t>
            </w:r>
          </w:p>
        </w:tc>
      </w:tr>
      <w:tr>
        <w:trPr>
          <w:tblHeader w:val="false"/>
        </w:trPr>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GBM</w:t>
            </w:r>
          </w:p>
        </w:tc>
        <w:tc>
          <w:tcPr>
            <w:tcW w:type="dxa" w:w="6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Gradient Boosting Machine -- Negotiation AI model trained on 478 TFDD/ICJ cases</w:t>
            </w:r>
          </w:p>
        </w:tc>
      </w:tr>
      <w:tr>
        <w:trPr>
          <w:tblHeader w:val="false"/>
        </w:trPr>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TFDD</w:t>
            </w:r>
          </w:p>
        </w:tc>
        <w:tc>
          <w:tcPr>
            <w:tcW w:type="dxa" w:w="6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Transboundary Freshwater Dispute Database -- Oregon State University</w:t>
            </w:r>
          </w:p>
        </w:tc>
      </w:tr>
      <w:tr>
        <w:trPr>
          <w:tblHeader w:val="false"/>
        </w:trPr>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MRC</w:t>
            </w:r>
          </w:p>
        </w:tc>
        <w:tc>
          <w:tcPr>
            <w:tcW w:type="dxa" w:w="6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Mekong River Commission -- intergovernmental body for Mekong basin management</w:t>
            </w:r>
          </w:p>
        </w:tc>
      </w:tr>
      <w:tr>
        <w:trPr>
          <w:tblHeader w:val="false"/>
        </w:trPr>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SHA-256</w:t>
            </w:r>
          </w:p>
        </w:tc>
        <w:tc>
          <w:tcPr>
            <w:tcW w:type="dxa" w:w="6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Secure Hash Algorithm 256-bit -- data integrity verification for ICJ/PCA dossier</w:t>
            </w:r>
          </w:p>
        </w:tc>
      </w:tr>
      <w:tr>
        <w:trPr>
          <w:tblHeader w:val="false"/>
        </w:trPr>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 7</w:t>
            </w:r>
          </w:p>
        </w:tc>
        <w:tc>
          <w:tcPr>
            <w:tcW w:type="dxa" w:w="6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UNWC Article 7 -- No Significant Harm obligation (ATDI 20-55% zone)</w:t>
            </w:r>
          </w:p>
        </w:tc>
      </w:tr>
      <w:tr>
        <w:trPr>
          <w:tblHeader w:val="false"/>
        </w:trPr>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 33</w:t>
            </w:r>
          </w:p>
        </w:tc>
        <w:tc>
          <w:tcPr>
            <w:tcW w:type="dxa" w:w="6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UNWC Article 33 -- Formal Dispute Resolution (ATDI &gt;55% zone)</w:t>
            </w:r>
          </w:p>
        </w:tc>
      </w:tr>
      <w:tr>
        <w:trPr>
          <w:tblHeader w:val="false"/>
        </w:trPr>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QWebEngineView</w:t>
            </w:r>
          </w:p>
        </w:tc>
        <w:tc>
          <w:tcPr>
            <w:tcW w:type="dxa" w:w="6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Qt web browser widget -- embeds HTML/Leaflet.js inside QGIS Desktop</w:t>
            </w:r>
          </w:p>
        </w:tc>
      </w:tr>
      <w:tr>
        <w:trPr>
          <w:tblHeader w:val="false"/>
        </w:trPr>
        <w:tc>
          <w:tcPr>
            <w:tcW w:type="dxa" w:w="2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GloFAS</w:t>
            </w:r>
          </w:p>
        </w:tc>
        <w:tc>
          <w:tcPr>
            <w:tcW w:type="dxa" w:w="6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Global Flood Awareness System -- ERA5-based reanalysis discharge (Copernicus/ECMWF)</w:t>
            </w:r>
          </w:p>
        </w:tc>
      </w:tr>
      <w:tr>
        <w:trPr>
          <w:tblHeader w:val="false"/>
        </w:trPr>
        <w:tc>
          <w:tcPr>
            <w:tcW w:type="dxa" w:w="2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PyQtWebEngine</w:t>
            </w:r>
          </w:p>
        </w:tc>
        <w:tc>
          <w:tcPr>
            <w:tcW w:type="dxa" w:w="6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Python bindings for Qt WebEngine -- required for Tools 14/15/16</w:t>
            </w:r>
          </w:p>
        </w:tc>
      </w:tr>
    </w:tbl>
    <w:p>
      <w:pPr>
        <w:spacing w:after="80"/>
      </w:pPr>
      <w:r>
        <w:t xml:space="preserve"/>
      </w:r>
    </w:p>
    <w:p>
      <w:pPr>
        <w:pStyle w:val="Heading1"/>
        <w:pageBreakBefore/>
        <w:pBdr>
          <w:bottom w:val="single" w:color="0E6B6A" w:sz="6"/>
        </w:pBdr>
        <w:shd w:fill="061F4A" w:val="clear"/>
        <w:spacing w:after="200" w:before="0"/>
        <w:ind w:left="260"/>
      </w:pPr>
      <w:r>
        <w:rPr>
          <w:rFonts w:ascii="Arial" w:cs="Arial" w:eastAsia="Arial" w:hAnsi="Arial"/>
          <w:b/>
          <w:bCs/>
          <w:i w:val="false"/>
          <w:iCs w:val="false"/>
          <w:color w:val="FFFFFF"/>
          <w:sz w:val="28"/>
          <w:szCs w:val="28"/>
        </w:rPr>
        <w:t xml:space="preserve">Appendix B -- All Links &amp; Resources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000"/>
        <w:gridCol w:w="6000"/>
      </w:tblGrid>
      <w:tr>
        <w:trPr>
          <w:tblHeader/>
        </w:trPr>
        <w:tc>
          <w:tcPr>
            <w:tcW w:type="dxa" w:w="3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Resource</w:t>
            </w:r>
          </w:p>
        </w:tc>
        <w:tc>
          <w:tcPr>
            <w:tcW w:type="dxa" w:w="6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URL</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QGIS Plugin (ID: 5040)</w:t>
            </w:r>
          </w:p>
        </w:tc>
        <w:tc>
          <w:tcPr>
            <w:tcW w:type="dxa" w:w="6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https://plugins.qgis.org/plugins/hsae_qgis/</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GitHub (Main App)</w:t>
            </w:r>
          </w:p>
        </w:tc>
        <w:tc>
          <w:tcPr>
            <w:tcW w:type="dxa" w:w="6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https://github.com/saifeldinkhedir-coder/HydroSovereign-AI-Engine-HSAE-v601</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GitHub (Package)</w:t>
            </w:r>
          </w:p>
        </w:tc>
        <w:tc>
          <w:tcPr>
            <w:tcW w:type="dxa" w:w="6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https://github.com/saifeldinkhedir-coder/hydrosovereign</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Live Streamlit App</w:t>
            </w:r>
          </w:p>
        </w:tc>
        <w:tc>
          <w:tcPr>
            <w:tcW w:type="dxa" w:w="6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https://hydrosovereign-ai-engine-hsae-v601-6euz2zxcmerkzxgordmvxf.streamlit.app</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PyPI Package</w:t>
            </w:r>
          </w:p>
        </w:tc>
        <w:tc>
          <w:tcPr>
            <w:tcW w:type="dxa" w:w="6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https://pypi.org/project/hydrosovereign/</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Zenodo DOI</w:t>
            </w:r>
          </w:p>
        </w:tc>
        <w:tc>
          <w:tcPr>
            <w:tcW w:type="dxa" w:w="6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https://doi.org/10.5281/zenodo.19180160</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ORCID</w:t>
            </w:r>
          </w:p>
        </w:tc>
        <w:tc>
          <w:tcPr>
            <w:tcW w:type="dxa" w:w="6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https://orcid.org/0000-0003-0821-2991</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Bug Reports</w:t>
            </w:r>
          </w:p>
        </w:tc>
        <w:tc>
          <w:tcPr>
            <w:tcW w:type="dxa" w:w="6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https://github.com/saifeldinkhedir-coder/HydroSovereign-AI-Engine-HSAE-v601/issues</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SoftwareX Paper</w:t>
            </w:r>
          </w:p>
        </w:tc>
        <w:tc>
          <w:tcPr>
            <w:tcW w:type="dxa" w:w="6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SOFTX-D-26-00442 -- Under Review 2026 -- Elsevier</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GRDC Portal</w:t>
            </w:r>
          </w:p>
        </w:tc>
        <w:tc>
          <w:tcPr>
            <w:tcW w:type="dxa" w:w="6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https://grdc.bafg.de (free registration required)</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Google Earth Engine</w:t>
            </w:r>
          </w:p>
        </w:tc>
        <w:tc>
          <w:tcPr>
            <w:tcW w:type="dxa" w:w="6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https://code.earthengine.google.com</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QGIS Download</w:t>
            </w:r>
          </w:p>
        </w:tc>
        <w:tc>
          <w:tcPr>
            <w:tcW w:type="dxa" w:w="6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https://qgis.org/en/site/forusers/download.html</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GPM IMERG Data</w:t>
            </w:r>
          </w:p>
        </w:tc>
        <w:tc>
          <w:tcPr>
            <w:tcW w:type="dxa" w:w="6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https://doi.org/10.5067/GPM/IMERG/3B-HH/07</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GloFAS ERA5</w:t>
            </w:r>
          </w:p>
        </w:tc>
        <w:tc>
          <w:tcPr>
            <w:tcW w:type="dxa" w:w="6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https://cds.climate.copernicus.eu</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Open-Meteo API</w:t>
            </w:r>
          </w:p>
        </w:tc>
        <w:tc>
          <w:tcPr>
            <w:tcW w:type="dxa" w:w="6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https://open-meteo.com</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TFDD Database</w:t>
            </w:r>
          </w:p>
        </w:tc>
        <w:tc>
          <w:tcPr>
            <w:tcW w:type="dxa" w:w="6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https://transboundarywaters.science.oregonstate.edu</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UNWC Text</w:t>
            </w:r>
          </w:p>
        </w:tc>
        <w:tc>
          <w:tcPr>
            <w:tcW w:type="dxa" w:w="6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https://legal.un.org/ilc/texts/instruments/english/conventions/8_3_1994.pdf</w:t>
            </w:r>
          </w:p>
        </w:tc>
      </w:tr>
    </w:tbl>
    <w:p>
      <w:pPr>
        <w:spacing w:after="80"/>
      </w:pPr>
      <w:r>
        <w:t xml:space="preserve"/>
      </w:r>
    </w:p>
    <w:p>
      <w:pPr>
        <w:pStyle w:val="Heading1"/>
        <w:pageBreakBefore/>
        <w:pBdr>
          <w:bottom w:val="single" w:color="0E6B6A" w:sz="6"/>
        </w:pBdr>
        <w:shd w:fill="061F4A" w:val="clear"/>
        <w:spacing w:after="200" w:before="0"/>
        <w:ind w:left="260"/>
      </w:pPr>
      <w:r>
        <w:rPr>
          <w:rFonts w:ascii="Arial" w:cs="Arial" w:eastAsia="Arial" w:hAnsi="Arial"/>
          <w:b/>
          <w:bCs/>
          <w:i w:val="false"/>
          <w:iCs w:val="false"/>
          <w:color w:val="FFFFFF"/>
          <w:sz w:val="28"/>
          <w:szCs w:val="28"/>
        </w:rPr>
        <w:t xml:space="preserve">Appendix C -- Quick Reference Card (Print-Ready A5)</w:t>
      </w:r>
    </w:p>
    <w:p>
      <w:pPr>
        <w:spacing w:after="85" w:before="0"/>
        <w:jc w:val="left"/>
      </w:pPr>
      <w:r>
        <w:rPr>
          <w:rFonts w:ascii="Arial" w:cs="Arial" w:eastAsia="Arial" w:hAnsi="Arial"/>
          <w:b/>
          <w:bCs/>
          <w:i w:val="false"/>
          <w:iCs w:val="false"/>
          <w:color w:val="061F4A"/>
          <w:sz w:val="20"/>
          <w:szCs w:val="20"/>
        </w:rPr>
        <w:t xml:space="preserve">Print this page. </w:t>
      </w:r>
      <w:r>
        <w:rPr>
          <w:rFonts w:ascii="Arial" w:cs="Arial" w:eastAsia="Arial" w:hAnsi="Arial"/>
          <w:b w:val="false"/>
          <w:bCs w:val="false"/>
          <w:i w:val="false"/>
          <w:iCs w:val="false"/>
          <w:color w:val="1A202C"/>
          <w:sz w:val="20"/>
          <w:szCs w:val="20"/>
        </w:rPr>
        <w:t xml:space="preserve">Fold in half for A5 pocket card. Place next to monitor while working.</w:t>
      </w:r>
    </w:p>
    <w:p>
      <w:pPr>
        <w:spacing w:after="80"/>
      </w:pPr>
      <w:r>
        <w:t xml:space="preserve"/>
      </w:r>
    </w:p>
    <w:p>
      <w:pPr>
        <w:shd w:fill="061F4A" w:val="clear"/>
        <w:spacing w:after="0" w:before="0"/>
        <w:jc w:val="center"/>
      </w:pPr>
      <w:r>
        <w:rPr>
          <w:rFonts w:ascii="Arial" w:cs="Arial" w:eastAsia="Arial" w:hAnsi="Arial"/>
          <w:b/>
          <w:bCs/>
          <w:i w:val="false"/>
          <w:iCs w:val="false"/>
          <w:color w:val="FFFFFF"/>
          <w:sz w:val="22"/>
          <w:szCs w:val="22"/>
        </w:rPr>
        <w:t xml:space="preserve">HSAE v6.0.3 -- 16-Tool Quick Reference</w:t>
      </w:r>
    </w:p>
    <w:p>
      <w:pPr>
        <w:shd w:fill="0E6B6A" w:val="clear"/>
        <w:spacing w:after="120" w:before="0"/>
        <w:jc w:val="center"/>
      </w:pPr>
      <w:r>
        <w:rPr>
          <w:rFonts w:ascii="Arial" w:cs="Arial" w:eastAsia="Arial" w:hAnsi="Arial"/>
          <w:b w:val="false"/>
          <w:bCs w:val="false"/>
          <w:i w:val="false"/>
          <w:iCs w:val="false"/>
          <w:color w:val="FFFFFF"/>
          <w:sz w:val="17"/>
          <w:szCs w:val="17"/>
        </w:rPr>
        <w:t xml:space="preserve">Plugin ID: 5040 -- plugins.qgis.org/plugins/hsae_qgis/ -- GPL-3.0 -- April 2026</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00"/>
        <w:gridCol w:w="2000"/>
        <w:gridCol w:w="3000"/>
        <w:gridCol w:w="3600"/>
      </w:tblGrid>
      <w:tr>
        <w:trPr>
          <w:tblHeader/>
        </w:trPr>
        <w:tc>
          <w:tcPr>
            <w:tcW w:type="dxa" w:w="4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w:t>
            </w:r>
          </w:p>
        </w:tc>
        <w:tc>
          <w:tcPr>
            <w:tcW w:type="dxa" w:w="2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Tool</w:t>
            </w:r>
          </w:p>
        </w:tc>
        <w:tc>
          <w:tcPr>
            <w:tcW w:type="dxa" w:w="3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Action</w:t>
            </w:r>
          </w:p>
        </w:tc>
        <w:tc>
          <w:tcPr>
            <w:tcW w:type="dxa" w:w="36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Output</w:t>
            </w:r>
          </w:p>
        </w:tc>
      </w:tr>
      <w:tr>
        <w:trPr>
          <w:tblHeader w:val="false"/>
        </w:trPr>
        <w:tc>
          <w:tcPr>
            <w:tcW w:type="dxa" w:w="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Load Basin Registry</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Click button 1</w:t>
            </w:r>
          </w:p>
        </w:tc>
        <w:tc>
          <w:tcPr>
            <w:tcW w:type="dxa" w:w="3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26 basins on world map</w:t>
            </w:r>
          </w:p>
        </w:tc>
      </w:tr>
      <w:tr>
        <w:trPr>
          <w:tblHeader w:val="false"/>
        </w:trPr>
        <w:tc>
          <w:tcPr>
            <w:tcW w:type="dxa" w:w="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ATDI Visualiser</w:t>
            </w:r>
          </w:p>
        </w:tc>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Select layer, click button 2</w:t>
            </w:r>
          </w:p>
        </w:tc>
        <w:tc>
          <w:tcPr>
            <w:tcW w:type="dxa" w:w="3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Colour-coded risk map</w:t>
            </w:r>
          </w:p>
        </w:tc>
      </w:tr>
      <w:tr>
        <w:trPr>
          <w:tblHeader w:val="false"/>
        </w:trPr>
        <w:tc>
          <w:tcPr>
            <w:tcW w:type="dxa" w:w="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3</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UNWC Legal Layer</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Click button 3</w:t>
            </w:r>
          </w:p>
        </w:tc>
        <w:tc>
          <w:tcPr>
            <w:tcW w:type="dxa" w:w="3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Treaty compliance layer</w:t>
            </w:r>
          </w:p>
        </w:tc>
      </w:tr>
      <w:tr>
        <w:trPr>
          <w:tblHeader w:val="false"/>
        </w:trPr>
        <w:tc>
          <w:tcPr>
            <w:tcW w:type="dxa" w:w="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GRDC Stations</w:t>
            </w:r>
          </w:p>
        </w:tc>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Click button 4</w:t>
            </w:r>
          </w:p>
        </w:tc>
        <w:tc>
          <w:tcPr>
            <w:tcW w:type="dxa" w:w="3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Discharge station overlay</w:t>
            </w:r>
          </w:p>
        </w:tc>
      </w:tr>
      <w:tr>
        <w:trPr>
          <w:tblHeader w:val="false"/>
        </w:trPr>
        <w:tc>
          <w:tcPr>
            <w:tcW w:type="dxa" w:w="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GEE Script Generator</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Click button 5, select sensor</w:t>
            </w:r>
          </w:p>
        </w:tc>
        <w:tc>
          <w:tcPr>
            <w:tcW w:type="dxa" w:w="3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Copy GEE JavaScript</w:t>
            </w:r>
          </w:p>
        </w:tc>
      </w:tr>
      <w:tr>
        <w:trPr>
          <w:tblHeader w:val="false"/>
        </w:trPr>
        <w:tc>
          <w:tcPr>
            <w:tcW w:type="dxa" w:w="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6</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Dashboard Dialog</w:t>
            </w:r>
          </w:p>
        </w:tc>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Click button 6, select basin</w:t>
            </w:r>
          </w:p>
        </w:tc>
        <w:tc>
          <w:tcPr>
            <w:tcW w:type="dxa" w:w="3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All 6 indices per basin</w:t>
            </w:r>
          </w:p>
        </w:tc>
      </w:tr>
      <w:tr>
        <w:trPr>
          <w:tblHeader w:val="false"/>
        </w:trPr>
        <w:tc>
          <w:tcPr>
            <w:tcW w:type="dxa" w:w="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7</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Conflict Index</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Click button 7</w:t>
            </w:r>
          </w:p>
        </w:tc>
        <w:tc>
          <w:tcPr>
            <w:tcW w:type="dxa" w:w="3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All 26 basins ranked by CI</w:t>
            </w:r>
          </w:p>
        </w:tc>
      </w:tr>
      <w:tr>
        <w:trPr>
          <w:tblHeader w:val="false"/>
        </w:trPr>
        <w:tc>
          <w:tcPr>
            <w:tcW w:type="dxa" w:w="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8</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Negotiation AI</w:t>
            </w:r>
          </w:p>
        </w:tc>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Click button 8, Run</w:t>
            </w:r>
          </w:p>
        </w:tc>
        <w:tc>
          <w:tcPr>
            <w:tcW w:type="dxa" w:w="3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P(success) + strategy</w:t>
            </w:r>
          </w:p>
        </w:tc>
      </w:tr>
      <w:tr>
        <w:trPr>
          <w:tblHeader w:val="false"/>
        </w:trPr>
        <w:tc>
          <w:tcPr>
            <w:tcW w:type="dxa" w:w="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9</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WebGIS Map</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Click button 9, save HTML</w:t>
            </w:r>
          </w:p>
        </w:tc>
        <w:tc>
          <w:tcPr>
            <w:tcW w:type="dxa" w:w="3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Offline Leaflet map</w:t>
            </w:r>
          </w:p>
        </w:tc>
      </w:tr>
      <w:tr>
        <w:trPr>
          <w:tblHeader w:val="false"/>
        </w:trPr>
        <w:tc>
          <w:tcPr>
            <w:tcW w:type="dxa" w:w="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10</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Export Data</w:t>
            </w:r>
          </w:p>
        </w:tc>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Click button 10, format</w:t>
            </w:r>
          </w:p>
        </w:tc>
        <w:tc>
          <w:tcPr>
            <w:tcW w:type="dxa" w:w="3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GeoJSON / SHP / CSV</w:t>
            </w:r>
          </w:p>
        </w:tc>
      </w:tr>
      <w:tr>
        <w:trPr>
          <w:tblHeader w:val="false"/>
        </w:trPr>
        <w:tc>
          <w:tcPr>
            <w:tcW w:type="dxa" w:w="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11</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Basin Panel</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Click button 11</w:t>
            </w:r>
          </w:p>
        </w:tc>
        <w:tc>
          <w:tcPr>
            <w:tcW w:type="dxa" w:w="3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Live dockable dashboard</w:t>
            </w:r>
          </w:p>
        </w:tc>
      </w:tr>
      <w:tr>
        <w:trPr>
          <w:tblHeader w:val="false"/>
        </w:trPr>
        <w:tc>
          <w:tcPr>
            <w:tcW w:type="dxa" w:w="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12</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ICJ Dossier</w:t>
            </w:r>
          </w:p>
        </w:tc>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Menu --&gt; ICJ/PCA Dossier</w:t>
            </w:r>
          </w:p>
        </w:tc>
        <w:tc>
          <w:tcPr>
            <w:tcW w:type="dxa" w:w="3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HTML + PDF legal dossier</w:t>
            </w:r>
          </w:p>
        </w:tc>
      </w:tr>
      <w:tr>
        <w:trPr>
          <w:tblHeader w:val="false"/>
        </w:trPr>
        <w:tc>
          <w:tcPr>
            <w:tcW w:type="dxa" w:w="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13</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About</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Menu --&gt; About HSAE v6.0.3</w:t>
            </w:r>
          </w:p>
        </w:tc>
        <w:tc>
          <w:tcPr>
            <w:tcW w:type="dxa" w:w="3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Metadata + BibTeX citation</w:t>
            </w:r>
          </w:p>
        </w:tc>
      </w:tr>
      <w:tr>
        <w:trPr>
          <w:tblHeader w:val="false"/>
        </w:trPr>
        <w:tc>
          <w:tcPr>
            <w:tcW w:type="dxa" w:w="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14</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Risk Map [NEW]</w:t>
            </w:r>
          </w:p>
        </w:tc>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Menu --&gt; Basin Risk Map</w:t>
            </w:r>
          </w:p>
        </w:tc>
        <w:tc>
          <w:tcPr>
            <w:tcW w:type="dxa" w:w="3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Leaflet inside QGIS</w:t>
            </w:r>
          </w:p>
        </w:tc>
      </w:tr>
      <w:tr>
        <w:trPr>
          <w:tblHeader w:val="false"/>
        </w:trPr>
        <w:tc>
          <w:tcPr>
            <w:tcW w:type="dxa" w:w="4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15</w:t>
            </w:r>
          </w:p>
        </w:tc>
        <w:tc>
          <w:tcPr>
            <w:tcW w:type="dxa" w:w="2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Uncertainty [NEW]</w:t>
            </w:r>
          </w:p>
        </w:tc>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Menu --&gt; Uncertainty Analysis</w:t>
            </w:r>
          </w:p>
        </w:tc>
        <w:tc>
          <w:tcPr>
            <w:tcW w:type="dxa" w:w="36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95% CI + Sobol chart</w:t>
            </w:r>
          </w:p>
        </w:tc>
      </w:tr>
      <w:tr>
        <w:trPr>
          <w:tblHeader w:val="false"/>
        </w:trPr>
        <w:tc>
          <w:tcPr>
            <w:tcW w:type="dxa" w:w="4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16</w:t>
            </w:r>
          </w:p>
        </w:tc>
        <w:tc>
          <w:tcPr>
            <w:tcW w:type="dxa" w:w="2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Treaty ATCI [NEW]</w:t>
            </w:r>
          </w:p>
        </w:tc>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Menu --&gt; Treaty Analysis ATCI</w:t>
            </w:r>
          </w:p>
        </w:tc>
        <w:tc>
          <w:tcPr>
            <w:tcW w:type="dxa" w:w="36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ATCI + 10 UNWC articles</w:t>
            </w:r>
          </w:p>
        </w:tc>
      </w:tr>
    </w:tbl>
    <w:p>
      <w:pPr>
        <w:spacing w:after="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500"/>
        <w:gridCol w:w="4500"/>
      </w:tblGrid>
      <w:tr>
        <w:trPr>
          <w:tblHeader/>
        </w:trPr>
        <w:tc>
          <w:tcPr>
            <w:tcW w:type="dxa" w:w="4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ATDI Risk Zones</w:t>
            </w:r>
          </w:p>
        </w:tc>
        <w:tc>
          <w:tcPr>
            <w:tcW w:type="dxa" w:w="45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
            </w:r>
          </w:p>
        </w:tc>
      </w:tr>
      <w:tr>
        <w:trPr>
          <w:tblHeader w:val="false"/>
        </w:trPr>
        <w:tc>
          <w:tcPr>
            <w:tcW w:type="dxa" w:w="4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Green  &lt;20%   Compliant -- no action</w:t>
            </w:r>
          </w:p>
        </w:tc>
        <w:tc>
          <w:tcPr>
            <w:tcW w:type="dxa" w:w="4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Orange 40-55%  Art. 9 -- data sharing</w:t>
            </w:r>
          </w:p>
        </w:tc>
      </w:tr>
      <w:tr>
        <w:trPr>
          <w:tblHeader w:val="false"/>
        </w:trPr>
        <w:tc>
          <w:tcPr>
            <w:tcW w:type="dxa" w:w="4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Yellow 20-40% Art. 7 -- notify downstream</w:t>
            </w:r>
          </w:p>
        </w:tc>
        <w:tc>
          <w:tcPr>
            <w:tcW w:type="dxa" w:w="45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Red    55-70%  Art. 33 -- formal dispute</w:t>
            </w:r>
          </w:p>
        </w:tc>
      </w:tr>
      <w:tr>
        <w:trPr>
          <w:tblHeader w:val="false"/>
        </w:trPr>
        <w:tc>
          <w:tcPr>
            <w:tcW w:type="dxa" w:w="4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
            </w:r>
          </w:p>
        </w:tc>
        <w:tc>
          <w:tcPr>
            <w:tcW w:type="dxa" w:w="45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Purple &gt;=70%  Art. 35 -- emergency action</w:t>
            </w:r>
          </w:p>
        </w:tc>
      </w:tr>
    </w:tbl>
    <w:p>
      <w:pPr>
        <w:spacing w:after="8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000"/>
        <w:gridCol w:w="6000"/>
      </w:tblGrid>
      <w:tr>
        <w:trPr>
          <w:tblHeader/>
        </w:trPr>
        <w:tc>
          <w:tcPr>
            <w:tcW w:type="dxa" w:w="3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Blue Nile (GERD) Key Results</w:t>
            </w:r>
          </w:p>
        </w:tc>
        <w:tc>
          <w:tcPr>
            <w:tcW w:type="dxa" w:w="60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Value</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ATDI</w:t>
            </w:r>
          </w:p>
        </w:tc>
        <w:tc>
          <w:tcPr>
            <w:tcW w:type="dxa" w:w="6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43.5% -- Article 7 zone -- 95% CI [39.2%-47.8%]</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HIFD</w:t>
            </w:r>
          </w:p>
        </w:tc>
        <w:tc>
          <w:tcPr>
            <w:tcW w:type="dxa" w:w="6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20.0% -- ATCI = 70% (7/10 UNWC articles triggered)</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NSE / KGE</w:t>
            </w:r>
          </w:p>
        </w:tc>
        <w:tc>
          <w:tcPr>
            <w:tcW w:type="dxa" w:w="6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0.63 / 0.74 (proxy vs GloFAS ERA5 v4)</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Conflict Index</w:t>
            </w:r>
          </w:p>
        </w:tc>
        <w:tc>
          <w:tcPr>
            <w:tcW w:type="dxa" w:w="6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0.44 HIGH</w:t>
            </w:r>
          </w:p>
        </w:tc>
      </w:tr>
      <w:tr>
        <w:trPr>
          <w:tblHeader w:val="false"/>
        </w:trPr>
        <w:tc>
          <w:tcPr>
            <w:tcW w:type="dxa" w:w="3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P(Negotiation)</w:t>
            </w:r>
          </w:p>
        </w:tc>
        <w:tc>
          <w:tcPr>
            <w:tcW w:type="dxa" w:w="60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58% --&gt; Art. 17 Mediation recommended</w:t>
            </w:r>
          </w:p>
        </w:tc>
      </w:tr>
      <w:tr>
        <w:trPr>
          <w:tblHeader w:val="false"/>
        </w:trPr>
        <w:tc>
          <w:tcPr>
            <w:tcW w:type="dxa" w:w="3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Plugin ID</w:t>
            </w:r>
          </w:p>
        </w:tc>
        <w:tc>
          <w:tcPr>
            <w:tcW w:type="dxa" w:w="60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5040 -- April 21, 2026 -- 0 Critical security issues</w:t>
            </w:r>
          </w:p>
        </w:tc>
      </w:tr>
    </w:tbl>
    <w:p>
      <w:pPr>
        <w:spacing w:after="80"/>
      </w:pPr>
      <w:r>
        <w:t xml:space="preserve"/>
      </w:r>
    </w:p>
    <w:p>
      <w:pPr>
        <w:pBdr>
          <w:top w:val="nil"/>
          <w:left w:val="thick" w:color="0B3D8E" w:sz="16"/>
          <w:bottom w:val="nil"/>
          <w:right w:val="nil"/>
        </w:pBdr>
        <w:shd w:fill="EDF2F7" w:val="clear"/>
        <w:spacing w:after="0" w:before="60"/>
        <w:ind w:left="280"/>
      </w:pPr>
      <w:r>
        <w:rPr>
          <w:rFonts w:ascii="Courier New" w:cs="Courier New" w:eastAsia="Courier New" w:hAnsi="Courier New"/>
          <w:color w:val="1A365D"/>
          <w:sz w:val="18"/>
          <w:szCs w:val="18"/>
        </w:rPr>
        <w:t xml:space="preserve">Install: Plugins --&gt; Manage --&gt; Search HydroSovereign --&gt; Install Plugin</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DOI:     https://doi.org/10.5281/zenodo.19180160</w:t>
      </w:r>
    </w:p>
    <w:p>
      <w:pPr>
        <w:pBdr>
          <w:top w:val="nil"/>
          <w:left w:val="thick" w:color="0B3D8E" w:sz="16"/>
          <w:bottom w:val="nil"/>
          <w:right w:val="nil"/>
        </w:pBdr>
        <w:shd w:fill="EDF2F7" w:val="clear"/>
        <w:spacing w:after="60" w:before="0"/>
        <w:ind w:left="280"/>
      </w:pPr>
      <w:r>
        <w:rPr>
          <w:rFonts w:ascii="Courier New" w:cs="Courier New" w:eastAsia="Courier New" w:hAnsi="Courier New"/>
          <w:color w:val="1A365D"/>
          <w:sz w:val="18"/>
          <w:szCs w:val="18"/>
        </w:rPr>
        <w:t xml:space="preserve">ORCID:   0000-0003-0821-2991</w:t>
      </w:r>
    </w:p>
    <w:p>
      <w:pPr>
        <w:spacing w:after="80"/>
      </w:pPr>
      <w:r>
        <w:t xml:space="preserve"/>
      </w:r>
    </w:p>
    <w:p>
      <w:pPr>
        <w:pStyle w:val="Heading1"/>
        <w:pageBreakBefore/>
        <w:pBdr>
          <w:bottom w:val="single" w:color="0E6B6A" w:sz="6"/>
        </w:pBdr>
        <w:shd w:fill="061F4A" w:val="clear"/>
        <w:spacing w:after="200" w:before="0"/>
        <w:ind w:left="260"/>
      </w:pPr>
      <w:r>
        <w:rPr>
          <w:rFonts w:ascii="Arial" w:cs="Arial" w:eastAsia="Arial" w:hAnsi="Arial"/>
          <w:b/>
          <w:bCs/>
          <w:i w:val="false"/>
          <w:iCs w:val="false"/>
          <w:color w:val="FFFFFF"/>
          <w:sz w:val="28"/>
          <w:szCs w:val="28"/>
        </w:rPr>
        <w:t xml:space="preserve">Appendix D -- HSAE v6.0.3 Complete Workflow Diagram</w:t>
      </w:r>
    </w:p>
    <w:p>
      <w:pPr>
        <w:pBdr>
          <w:top w:val="nil"/>
          <w:left w:val="thick" w:color="0B3D8E" w:sz="16"/>
          <w:bottom w:val="nil"/>
          <w:right w:val="nil"/>
        </w:pBdr>
        <w:shd w:fill="EDF2F7" w:val="clear"/>
        <w:spacing w:after="0" w:before="60"/>
        <w:ind w:left="280"/>
      </w:pPr>
      <w:r>
        <w:rPr>
          <w:rFonts w:ascii="Courier New" w:cs="Courier New" w:eastAsia="Courier New" w:hAnsi="Courier New"/>
          <w:color w:val="1A365D"/>
          <w:sz w:val="18"/>
          <w:szCs w:val="18"/>
        </w:rPr>
        <w:t xml:space="preserve">INPUT: 9+ GEE Satellite Sources</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GPM IMERG  |  GRACE-FO  |  SMAP  |  Sentinel-1  |  Sentinel-2</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ERA5  |  Open-Meteo  |  MODIS  |  VIIRS</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[Tool 5: GEE Script Generator]</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v</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HBV-96 Rainfall-Runoff Model</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SCE-UA Calibration (1000 iter) + EnKF Digital Twin (n=200)</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Q_sim vs Q_obs (GloFAS ERA5 v4 proxy)</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NSE = 0.63  |  KGE = 0.74</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             |</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v             v</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ATDI = 43.5%   HIFD = 20.0%</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AFSF = 0.43    AHLB --&gt; Art.7</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ASI computed   ATCI = 70%</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             |</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 [Tool 7: Conflict Index]</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v</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CI = 0.44 HIGH</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[0.40*ATDI + 0.25*dispute + 0.20*HIFD + 0.15*n_countries]</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 [Tool 8: Negotiation AI -- GBM -- 478 cases]</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v</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P(Negotiation) = 58%  --&gt;  Art. 17 Mediation</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 [Tool 3: UNWC Legal Layer]</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v</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UNWC 1997 Legal Mapping</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Arts. 5,7,9,11,12,17,21 triggered  |  ATCI = 70%</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         |          |           |</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v         v          v           v</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[Tool 9]  [Tool 12]  [Tool 14]  [Tool 16]</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WebGIS    ICJ/PCA    Basin      Treaty</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Map       Dossier    Risk Map   Analysis</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(HTML)   (SHA-256)  (Leaflet)  (ATCI)</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PDF        QGIS Panel  Panel</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[Tool 15]</w:t>
      </w:r>
    </w:p>
    <w:p>
      <w:pPr>
        <w:pBdr>
          <w:top w:val="nil"/>
          <w:left w:val="thick" w:color="0B3D8E" w:sz="16"/>
          <w:bottom w:val="nil"/>
          <w:right w:val="nil"/>
        </w:pBdr>
        <w:shd w:fill="EDF2F7" w:val="clear"/>
        <w:spacing w:after="0" w:before="0"/>
        <w:ind w:left="280"/>
      </w:pPr>
      <w:r>
        <w:rPr>
          <w:rFonts w:ascii="Courier New" w:cs="Courier New" w:eastAsia="Courier New" w:hAnsi="Courier New"/>
          <w:color w:val="1A365D"/>
          <w:sz w:val="18"/>
          <w:szCs w:val="18"/>
        </w:rPr>
        <w:t xml:space="preserve">                               Uncertainty</w:t>
      </w:r>
    </w:p>
    <w:p>
      <w:pPr>
        <w:pBdr>
          <w:top w:val="nil"/>
          <w:left w:val="thick" w:color="0B3D8E" w:sz="16"/>
          <w:bottom w:val="nil"/>
          <w:right w:val="nil"/>
        </w:pBdr>
        <w:shd w:fill="EDF2F7" w:val="clear"/>
        <w:spacing w:after="60" w:before="0"/>
        <w:ind w:left="280"/>
      </w:pPr>
      <w:r>
        <w:rPr>
          <w:rFonts w:ascii="Courier New" w:cs="Courier New" w:eastAsia="Courier New" w:hAnsi="Courier New"/>
          <w:color w:val="1A365D"/>
          <w:sz w:val="18"/>
          <w:szCs w:val="18"/>
        </w:rPr>
        <w:t xml:space="preserve">                               95% CI + Sobol</w:t>
      </w:r>
    </w:p>
    <w:p>
      <w:pPr>
        <w:spacing w:after="80"/>
      </w:pPr>
      <w:r>
        <w:t xml:space="preserve"/>
      </w:r>
    </w:p>
    <w:p>
      <w:pPr>
        <w:pStyle w:val="Heading1"/>
        <w:pageBreakBefore/>
        <w:pBdr>
          <w:bottom w:val="single" w:color="0E6B6A" w:sz="6"/>
        </w:pBdr>
        <w:shd w:fill="061F4A" w:val="clear"/>
        <w:spacing w:after="200" w:before="0"/>
        <w:ind w:left="260"/>
      </w:pPr>
      <w:r>
        <w:rPr>
          <w:rFonts w:ascii="Arial" w:cs="Arial" w:eastAsia="Arial" w:hAnsi="Arial"/>
          <w:b/>
          <w:bCs/>
          <w:i w:val="false"/>
          <w:iCs w:val="false"/>
          <w:color w:val="FFFFFF"/>
          <w:sz w:val="28"/>
          <w:szCs w:val="28"/>
        </w:rPr>
        <w:t xml:space="preserve">Appendix E -- Keyword Index (47 Terms)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200"/>
        <w:gridCol w:w="5800"/>
      </w:tblGrid>
      <w:tr>
        <w:trPr>
          <w:tblHeader/>
        </w:trPr>
        <w:tc>
          <w:tcPr>
            <w:tcW w:type="dxa" w:w="32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Keyword</w:t>
            </w:r>
          </w:p>
        </w:tc>
        <w:tc>
          <w:tcPr>
            <w:tcW w:type="dxa" w:w="5800"/>
            <w:tcBorders>
              <w:top w:val="single" w:color="061F4A" w:sz="1"/>
              <w:left w:val="single" w:color="061F4A" w:sz="1"/>
              <w:bottom w:val="single" w:color="061F4A" w:sz="1"/>
              <w:right w:val="single" w:color="061F4A" w:sz="1"/>
            </w:tcBorders>
            <w:shd w:fill="061F4A" w:val="clear"/>
            <w:tcMar>
              <w:top w:type="dxa" w:w="60"/>
              <w:left w:type="dxa" w:w="100"/>
              <w:bottom w:type="dxa" w:w="60"/>
              <w:right w:type="dxa" w:w="100"/>
            </w:tcMar>
          </w:tcPr>
          <w:p>
            <w:pPr>
              <w:spacing w:after="0" w:before="0"/>
              <w:jc w:val="left"/>
            </w:pPr>
            <w:r>
              <w:rPr>
                <w:rFonts w:ascii="Arial" w:cs="Arial" w:eastAsia="Arial" w:hAnsi="Arial"/>
                <w:b/>
                <w:bCs/>
                <w:i w:val="false"/>
                <w:iCs w:val="false"/>
                <w:color w:val="FFFFFF"/>
                <w:sz w:val="18"/>
                <w:szCs w:val="18"/>
              </w:rPr>
              <w:t xml:space="preserve">Section(s)</w:t>
            </w:r>
          </w:p>
        </w:tc>
      </w:tr>
      <w:tr>
        <w:trPr>
          <w:tblHeader w:val="false"/>
        </w:trPr>
        <w:tc>
          <w:tcPr>
            <w:tcW w:type="dxa" w:w="3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ATDI (Alkedir Transparency Deficit Index)</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Ch.4 T2, Ch.5.1, Ch.7, Ch.11.3, Ch.13</w:t>
            </w:r>
          </w:p>
        </w:tc>
      </w:tr>
      <w:tr>
        <w:trPr>
          <w:tblHeader w:val="false"/>
        </w:trPr>
        <w:tc>
          <w:tcPr>
            <w:tcW w:type="dxa" w:w="3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ATCI (Alkedir Treaty Compliance Index)</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Ch.4 T16 (NEW), Ch.7, Ch.13, App.C</w:t>
            </w:r>
          </w:p>
        </w:tc>
      </w:tr>
      <w:tr>
        <w:trPr>
          <w:tblHeader w:val="false"/>
        </w:trPr>
        <w:tc>
          <w:tcPr>
            <w:tcW w:type="dxa" w:w="3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AFSF (Alkedir Forensic Signal Factor)</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Ch.7, App.A</w:t>
            </w:r>
          </w:p>
        </w:tc>
      </w:tr>
      <w:tr>
        <w:trPr>
          <w:tblHeader w:val="false"/>
        </w:trPr>
        <w:tc>
          <w:tcPr>
            <w:tcW w:type="dxa" w:w="3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AHLB (Alkedir HBV-Legal Bridge)</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Ch.7, App.A</w:t>
            </w:r>
          </w:p>
        </w:tc>
      </w:tr>
      <w:tr>
        <w:trPr>
          <w:tblHeader w:val="false"/>
        </w:trPr>
        <w:tc>
          <w:tcPr>
            <w:tcW w:type="dxa" w:w="3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ASI (Alkedir Sovereignty Index)</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Ch.7, App.A</w:t>
            </w:r>
          </w:p>
        </w:tc>
      </w:tr>
      <w:tr>
        <w:trPr>
          <w:tblHeader w:val="false"/>
        </w:trPr>
        <w:tc>
          <w:tcPr>
            <w:tcW w:type="dxa" w:w="3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Algorithms (5 Processing)</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Ch.5, Ch.11.4, Ch.12.1</w:t>
            </w:r>
          </w:p>
        </w:tc>
      </w:tr>
      <w:tr>
        <w:trPr>
          <w:tblHeader w:val="false"/>
        </w:trPr>
        <w:tc>
          <w:tcPr>
            <w:tcW w:type="dxa" w:w="3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Arabic Quick Start</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Sec: Arabic Quick Start (NEW)</w:t>
            </w:r>
          </w:p>
        </w:tc>
      </w:tr>
      <w:tr>
        <w:trPr>
          <w:tblHeader w:val="false"/>
        </w:trPr>
        <w:tc>
          <w:tcPr>
            <w:tcW w:type="dxa" w:w="3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 7 UNWC</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Ch.4 T2, Ch.4 T3, Ch.7, Ch.11.3, App.C</w:t>
            </w:r>
          </w:p>
        </w:tc>
      </w:tr>
      <w:tr>
        <w:trPr>
          <w:tblHeader w:val="false"/>
        </w:trPr>
        <w:tc>
          <w:tcPr>
            <w:tcW w:type="dxa" w:w="3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Art. 33 UNWC</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Ch.4 T2, Ch.9.5, Ch.13, App.C</w:t>
            </w:r>
          </w:p>
        </w:tc>
      </w:tr>
      <w:tr>
        <w:trPr>
          <w:tblHeader w:val="false"/>
        </w:trPr>
        <w:tc>
          <w:tcPr>
            <w:tcW w:type="dxa" w:w="3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Attribute Table (F6)</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Ch.11.3 T1, Ch.11.3 T4, Ch.11.8</w:t>
            </w:r>
          </w:p>
        </w:tc>
      </w:tr>
      <w:tr>
        <w:trPr>
          <w:tblHeader w:val="false"/>
        </w:trPr>
        <w:tc>
          <w:tcPr>
            <w:tcW w:type="dxa" w:w="3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Basin Risk Map (Tool 14)</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Ch.4 T14 (NEW), Ch.11.3, App.C, App.D</w:t>
            </w:r>
          </w:p>
        </w:tc>
      </w:tr>
      <w:tr>
        <w:trPr>
          <w:tblHeader w:val="false"/>
        </w:trPr>
        <w:tc>
          <w:tcPr>
            <w:tcW w:type="dxa" w:w="3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Basin Panel (Tool 11)</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Ch.4 T11, Ch.11.3 T11</w:t>
            </w:r>
          </w:p>
        </w:tc>
      </w:tr>
      <w:tr>
        <w:trPr>
          <w:tblHeader w:val="false"/>
        </w:trPr>
        <w:tc>
          <w:tcPr>
            <w:tcW w:type="dxa" w:w="3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Batch Processing</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Ch.12.2</w:t>
            </w:r>
          </w:p>
        </w:tc>
      </w:tr>
      <w:tr>
        <w:trPr>
          <w:tblHeader w:val="false"/>
        </w:trPr>
        <w:tc>
          <w:tcPr>
            <w:tcW w:type="dxa" w:w="3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BibTeX citation</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Ch.10.1, App.C</w:t>
            </w:r>
          </w:p>
        </w:tc>
      </w:tr>
      <w:tr>
        <w:trPr>
          <w:tblHeader w:val="false"/>
        </w:trPr>
        <w:tc>
          <w:tcPr>
            <w:tcW w:type="dxa" w:w="3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Blue Nile / GERD case study</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Ch.4-5, Ch.11.5, App.C, App.D</w:t>
            </w:r>
          </w:p>
        </w:tc>
      </w:tr>
      <w:tr>
        <w:trPr>
          <w:tblHeader w:val="false"/>
        </w:trPr>
        <w:tc>
          <w:tcPr>
            <w:tcW w:type="dxa" w:w="3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CI -- Conflict Index</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Ch.4 T7, Ch.7, Ch.11.3 T7, Ch.13</w:t>
            </w:r>
          </w:p>
        </w:tc>
      </w:tr>
      <w:tr>
        <w:trPr>
          <w:tblHeader w:val="false"/>
        </w:trPr>
        <w:tc>
          <w:tcPr>
            <w:tcW w:type="dxa" w:w="3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CRS (EPSG:4326)</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Ch.11.2</w:t>
            </w:r>
          </w:p>
        </w:tc>
      </w:tr>
      <w:tr>
        <w:trPr>
          <w:tblHeader w:val="false"/>
        </w:trPr>
        <w:tc>
          <w:tcPr>
            <w:tcW w:type="dxa" w:w="3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Dashboard Dialog (Tool 6)</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Ch.4 T6, Ch.11.3 T6</w:t>
            </w:r>
          </w:p>
        </w:tc>
      </w:tr>
      <w:tr>
        <w:trPr>
          <w:tblHeader w:val="false"/>
        </w:trPr>
        <w:tc>
          <w:tcPr>
            <w:tcW w:type="dxa" w:w="3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El Diem station (GRDC 1763100)</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Ch.4 T4, Ch.5.4, Ch.9.5, Ch.11.3 T4</w:t>
            </w:r>
          </w:p>
        </w:tc>
      </w:tr>
      <w:tr>
        <w:trPr>
          <w:tblHeader w:val="false"/>
        </w:trPr>
        <w:tc>
          <w:tcPr>
            <w:tcW w:type="dxa" w:w="3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EnKF (Digital Twin n=200)</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Ch.5.4, Ch.7, App.D</w:t>
            </w:r>
          </w:p>
        </w:tc>
      </w:tr>
      <w:tr>
        <w:trPr>
          <w:tblHeader w:val="false"/>
        </w:trPr>
        <w:tc>
          <w:tcPr>
            <w:tcW w:type="dxa" w:w="3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Equations Index (8 formulas)</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Ch.7.2 (NEW)</w:t>
            </w:r>
          </w:p>
        </w:tc>
      </w:tr>
      <w:tr>
        <w:trPr>
          <w:tblHeader w:val="false"/>
        </w:trPr>
        <w:tc>
          <w:tcPr>
            <w:tcW w:type="dxa" w:w="3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Error Codes (HSAE-001 to HSAE-010)</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Ch.9.3 (NEW)</w:t>
            </w:r>
          </w:p>
        </w:tc>
      </w:tr>
      <w:tr>
        <w:trPr>
          <w:tblHeader w:val="false"/>
        </w:trPr>
        <w:tc>
          <w:tcPr>
            <w:tcW w:type="dxa" w:w="3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Executive Summary</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Sec: Executive Summary (NEW)</w:t>
            </w:r>
          </w:p>
        </w:tc>
      </w:tr>
      <w:tr>
        <w:trPr>
          <w:tblHeader w:val="false"/>
        </w:trPr>
        <w:tc>
          <w:tcPr>
            <w:tcW w:type="dxa" w:w="3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Export Basin Data (Tool 10)</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Ch.4 T10, Ch.11.3 T10</w:t>
            </w:r>
          </w:p>
        </w:tc>
      </w:tr>
      <w:tr>
        <w:trPr>
          <w:tblHeader w:val="false"/>
        </w:trPr>
        <w:tc>
          <w:tcPr>
            <w:tcW w:type="dxa" w:w="3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GEE Script Generator (Tool 5)</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Ch.4 T5, Ch.8, Ch.11.3 T5, Ch.13.5</w:t>
            </w:r>
          </w:p>
        </w:tc>
      </w:tr>
      <w:tr>
        <w:trPr>
          <w:tblHeader w:val="false"/>
        </w:trPr>
        <w:tc>
          <w:tcPr>
            <w:tcW w:type="dxa" w:w="3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GloFAS ERA5 v4 (proxy)</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Ch.5.4, Ch.7, Ch.9.4, Ch.11.3 T4</w:t>
            </w:r>
          </w:p>
        </w:tc>
      </w:tr>
      <w:tr>
        <w:trPr>
          <w:tblHeader w:val="false"/>
        </w:trPr>
        <w:tc>
          <w:tcPr>
            <w:tcW w:type="dxa" w:w="3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GRACE-FO MASCON</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Ch.8, Ch.11.3 T5, Ch.13.5</w:t>
            </w:r>
          </w:p>
        </w:tc>
      </w:tr>
      <w:tr>
        <w:trPr>
          <w:tblHeader w:val="false"/>
        </w:trPr>
        <w:tc>
          <w:tcPr>
            <w:tcW w:type="dxa" w:w="3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GPM IMERG V07</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Ch.8, Ch.11.3 T5, Ch.13.5</w:t>
            </w:r>
          </w:p>
        </w:tc>
      </w:tr>
      <w:tr>
        <w:trPr>
          <w:tblHeader w:val="false"/>
        </w:trPr>
        <w:tc>
          <w:tcPr>
            <w:tcW w:type="dxa" w:w="3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GRDC Stations (Tool 4)</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Ch.4 T4, Ch.9.2, Ch.11.3 T4</w:t>
            </w:r>
          </w:p>
        </w:tc>
      </w:tr>
      <w:tr>
        <w:trPr>
          <w:tblHeader w:val="false"/>
        </w:trPr>
        <w:tc>
          <w:tcPr>
            <w:tcW w:type="dxa" w:w="3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HBV-96 Calibration</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Ch.5.4, Ch.7, Ch.11.4, Ch.12.4</w:t>
            </w:r>
          </w:p>
        </w:tc>
      </w:tr>
      <w:tr>
        <w:trPr>
          <w:tblHeader w:val="false"/>
        </w:trPr>
        <w:tc>
          <w:tcPr>
            <w:tcW w:type="dxa" w:w="3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HIFD (Human-Induced Flow Deficit)</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Ch.4 T2, Ch.5.2, Ch.7, Ch.11.3, Ch.13</w:t>
            </w:r>
          </w:p>
        </w:tc>
      </w:tr>
      <w:tr>
        <w:trPr>
          <w:tblHeader w:val="false"/>
        </w:trPr>
        <w:tc>
          <w:tcPr>
            <w:tcW w:type="dxa" w:w="3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hydrosovereign (Python package)</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Ch.12.4, App.B</w:t>
            </w:r>
          </w:p>
        </w:tc>
      </w:tr>
      <w:tr>
        <w:trPr>
          <w:tblHeader w:val="false"/>
        </w:trPr>
        <w:tc>
          <w:tcPr>
            <w:tcW w:type="dxa" w:w="3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ICJ/PCA Dossier (Tool 12)</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Ch.4 T12, Ch.11.3 T12, Ch.15.4</w:t>
            </w:r>
          </w:p>
        </w:tc>
      </w:tr>
      <w:tr>
        <w:trPr>
          <w:tblHeader w:val="false"/>
        </w:trPr>
        <w:tc>
          <w:tcPr>
            <w:tcW w:type="dxa" w:w="3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Identify Tool (I)</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Ch.11.2, Ch.11.3</w:t>
            </w:r>
          </w:p>
        </w:tc>
      </w:tr>
      <w:tr>
        <w:trPr>
          <w:tblHeader w:val="false"/>
        </w:trPr>
        <w:tc>
          <w:tcPr>
            <w:tcW w:type="dxa" w:w="3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Installation</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Ch.2</w:t>
            </w:r>
          </w:p>
        </w:tc>
      </w:tr>
      <w:tr>
        <w:trPr>
          <w:tblHeader w:val="false"/>
        </w:trPr>
        <w:tc>
          <w:tcPr>
            <w:tcW w:type="dxa" w:w="3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Keyboard Shortcuts</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Ch.11.7</w:t>
            </w:r>
          </w:p>
        </w:tc>
      </w:tr>
      <w:tr>
        <w:trPr>
          <w:tblHeader w:val="false"/>
        </w:trPr>
        <w:tc>
          <w:tcPr>
            <w:tcW w:type="dxa" w:w="3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Leaflet.js</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Ch.4 T14 (NEW), Ch.4 T9, App.D</w:t>
            </w:r>
          </w:p>
        </w:tc>
      </w:tr>
      <w:tr>
        <w:trPr>
          <w:tblHeader w:val="false"/>
        </w:trPr>
        <w:tc>
          <w:tcPr>
            <w:tcW w:type="dxa" w:w="3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Legal Disclaimers</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Ch.15 (NEW)</w:t>
            </w:r>
          </w:p>
        </w:tc>
      </w:tr>
      <w:tr>
        <w:trPr>
          <w:tblHeader w:val="false"/>
        </w:trPr>
        <w:tc>
          <w:tcPr>
            <w:tcW w:type="dxa" w:w="3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Mekong case study</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Ch.13</w:t>
            </w:r>
          </w:p>
        </w:tc>
      </w:tr>
      <w:tr>
        <w:trPr>
          <w:tblHeader w:val="false"/>
        </w:trPr>
        <w:tc>
          <w:tcPr>
            <w:tcW w:type="dxa" w:w="3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Model Builder</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Ch.12.1</w:t>
            </w:r>
          </w:p>
        </w:tc>
      </w:tr>
      <w:tr>
        <w:trPr>
          <w:tblHeader w:val="false"/>
        </w:trPr>
        <w:tc>
          <w:tcPr>
            <w:tcW w:type="dxa" w:w="3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Monte Carlo (n=500)</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Ch.4 T15 (NEW), Ch.7</w:t>
            </w:r>
          </w:p>
        </w:tc>
      </w:tr>
      <w:tr>
        <w:trPr>
          <w:tblHeader w:val="false"/>
        </w:trPr>
        <w:tc>
          <w:tcPr>
            <w:tcW w:type="dxa" w:w="3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Negotiation AI (GBM 478 cases)</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Ch.4 T8, Ch.11.3 T8, Ch.12.4</w:t>
            </w:r>
          </w:p>
        </w:tc>
      </w:tr>
      <w:tr>
        <w:trPr>
          <w:tblHeader w:val="false"/>
        </w:trPr>
        <w:tc>
          <w:tcPr>
            <w:tcW w:type="dxa" w:w="3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NSE / KGE performance</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Ch.5.4, Ch.7, Ch.11.4</w:t>
            </w:r>
          </w:p>
        </w:tc>
      </w:tr>
      <w:tr>
        <w:trPr>
          <w:tblHeader w:val="false"/>
        </w:trPr>
        <w:tc>
          <w:tcPr>
            <w:tcW w:type="dxa" w:w="3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Output files folder tree</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Ch.11.6 (NEW)</w:t>
            </w:r>
          </w:p>
        </w:tc>
      </w:tr>
      <w:tr>
        <w:trPr>
          <w:tblHeader w:val="false"/>
        </w:trPr>
        <w:tc>
          <w:tcPr>
            <w:tcW w:type="dxa" w:w="3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Plugin ID 5040</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Cover, Ch.1, Ch.2, Ch.10, App.B, App.C</w:t>
            </w:r>
          </w:p>
        </w:tc>
      </w:tr>
      <w:tr>
        <w:trPr>
          <w:tblHeader w:val="false"/>
        </w:trPr>
        <w:tc>
          <w:tcPr>
            <w:tcW w:type="dxa" w:w="3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PyQtWebEngine</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Ch.2.4, Ch.4 T14, Ch.9.2, App.A</w:t>
            </w:r>
          </w:p>
        </w:tc>
      </w:tr>
      <w:tr>
        <w:trPr>
          <w:tblHeader w:val="false"/>
        </w:trPr>
        <w:tc>
          <w:tcPr>
            <w:tcW w:type="dxa" w:w="3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SHA-256 audit chain</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Ch.4 T12, Ch.15.4, App.D</w:t>
            </w:r>
          </w:p>
        </w:tc>
      </w:tr>
      <w:tr>
        <w:trPr>
          <w:tblHeader w:val="false"/>
        </w:trPr>
        <w:tc>
          <w:tcPr>
            <w:tcW w:type="dxa" w:w="3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Sobol sensitivity</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Ch.4 T15 (NEW), Ch.7</w:t>
            </w:r>
          </w:p>
        </w:tc>
      </w:tr>
      <w:tr>
        <w:trPr>
          <w:tblHeader w:val="false"/>
        </w:trPr>
        <w:tc>
          <w:tcPr>
            <w:tcW w:type="dxa" w:w="3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Treaty Analysis (Tool 16)</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Ch.4 T16 (NEW), Ch.11.3, App.C</w:t>
            </w:r>
          </w:p>
        </w:tc>
      </w:tr>
      <w:tr>
        <w:trPr>
          <w:tblHeader w:val="false"/>
        </w:trPr>
        <w:tc>
          <w:tcPr>
            <w:tcW w:type="dxa" w:w="3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Troubleshooting</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Ch.9, Ch.11.9</w:t>
            </w:r>
          </w:p>
        </w:tc>
      </w:tr>
      <w:tr>
        <w:trPr>
          <w:tblHeader w:val="false"/>
        </w:trPr>
        <w:tc>
          <w:tcPr>
            <w:tcW w:type="dxa" w:w="3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Uncertainty Analysis (Tool 15)</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Ch.4 T15 (NEW), Ch.11.3, App.C</w:t>
            </w:r>
          </w:p>
        </w:tc>
      </w:tr>
      <w:tr>
        <w:trPr>
          <w:tblHeader w:val="false"/>
        </w:trPr>
        <w:tc>
          <w:tcPr>
            <w:tcW w:type="dxa" w:w="3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Version Changelog</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Ch.14 (NEW)</w:t>
            </w:r>
          </w:p>
        </w:tc>
      </w:tr>
      <w:tr>
        <w:trPr>
          <w:tblHeader w:val="false"/>
        </w:trPr>
        <w:tc>
          <w:tcPr>
            <w:tcW w:type="dxa" w:w="3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WebGIS Map (Tool 9)</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Ch.4 T9, Ch.11.3 T9</w:t>
            </w:r>
          </w:p>
        </w:tc>
      </w:tr>
      <w:tr>
        <w:trPr>
          <w:tblHeader w:val="false"/>
        </w:trPr>
        <w:tc>
          <w:tcPr>
            <w:tcW w:type="dxa" w:w="32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Workflow Diagram</w:t>
            </w:r>
          </w:p>
        </w:tc>
        <w:tc>
          <w:tcPr>
            <w:tcW w:type="dxa" w:w="5800"/>
            <w:tcBorders>
              <w:top w:val="single" w:color="CBD5E0" w:sz="1"/>
              <w:left w:val="single" w:color="CBD5E0" w:sz="1"/>
              <w:bottom w:val="single" w:color="CBD5E0" w:sz="1"/>
              <w:right w:val="single" w:color="CBD5E0" w:sz="1"/>
            </w:tcBorders>
            <w:shd w:fill="F7FAFC"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App.D</w:t>
            </w:r>
          </w:p>
        </w:tc>
      </w:tr>
      <w:tr>
        <w:trPr>
          <w:tblHeader w:val="false"/>
        </w:trPr>
        <w:tc>
          <w:tcPr>
            <w:tcW w:type="dxa" w:w="32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Working with Results</w:t>
            </w:r>
          </w:p>
        </w:tc>
        <w:tc>
          <w:tcPr>
            <w:tcW w:type="dxa" w:w="5800"/>
            <w:tcBorders>
              <w:top w:val="single" w:color="CBD5E0" w:sz="1"/>
              <w:left w:val="single" w:color="CBD5E0" w:sz="1"/>
              <w:bottom w:val="single" w:color="CBD5E0" w:sz="1"/>
              <w:right w:val="single" w:color="CBD5E0" w:sz="1"/>
            </w:tcBorders>
            <w:shd w:fill="FFFFFF" w:val="clear"/>
            <w:tcMar>
              <w:top w:type="dxa" w:w="60"/>
              <w:left w:type="dxa" w:w="100"/>
              <w:bottom w:type="dxa" w:w="60"/>
              <w:right w:type="dxa" w:w="100"/>
            </w:tcMar>
          </w:tcPr>
          <w:p>
            <w:pPr>
              <w:spacing w:after="0" w:before="0"/>
              <w:jc w:val="left"/>
            </w:pPr>
            <w:r>
              <w:rPr>
                <w:rFonts w:ascii="Arial" w:cs="Arial" w:eastAsia="Arial" w:hAnsi="Arial"/>
                <w:b w:val="false"/>
                <w:bCs w:val="false"/>
                <w:i w:val="false"/>
                <w:iCs w:val="false"/>
                <w:color w:val="1A202C"/>
                <w:sz w:val="18"/>
                <w:szCs w:val="18"/>
              </w:rPr>
              <w:t xml:space="preserve">Ch.11.8</w:t>
            </w:r>
          </w:p>
        </w:tc>
      </w:tr>
    </w:tbl>
    <w:sectPr>
      <w:headerReference w:type="default" r:id="rId7"/>
      <w:footerReference w:type="default" r:id="rId8"/>
      <w:pgSz w:w="11906" w:h="16838" w:orient="portrait"/>
      <w:pgMar w:top="880" w:right="880" w:bottom="880" w:left="8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BD5E0" w:sz="2"/>
      </w:pBdr>
      <w:spacing w:after="40" w:before="0"/>
    </w:pPr>
  </w:p>
  <w:p>
    <w:pPr>
      <w:spacing w:after="0"/>
    </w:pPr>
    <w:r>
      <w:rPr>
        <w:rFonts w:ascii="Arial" w:cs="Arial" w:eastAsia="Arial" w:hAnsi="Arial"/>
        <w:color w:val="4A5568"/>
        <w:sz w:val="15"/>
        <w:szCs w:val="15"/>
      </w:rPr>
      <w:t xml:space="preserve">Seifeldin M.G. Alkedir  --  ORCID: 0000-0003-0821-2991  --  DOI: 10.5281/zenodo.19180160        Page </w:t>
    </w:r>
    <w:r>
      <w:rPr>
        <w:rFonts w:ascii="Arial" w:cs="Arial" w:eastAsia="Arial" w:hAnsi="Arial"/>
        <w:color w:val="4A5568"/>
        <w:sz w:val="15"/>
        <w:szCs w:val="15"/>
      </w:rPr>
      <w:fldChar w:fldCharType="begin"/>
      <w:instrText xml:space="preserve">PAGE</w:instrText>
      <w:fldChar w:fldCharType="separate"/>
      <w:fldChar w:fldCharType="end"/>
    </w:r>
    <w:r>
      <w:rPr>
        <w:rFonts w:ascii="Arial" w:cs="Arial" w:eastAsia="Arial" w:hAnsi="Arial"/>
        <w:color w:val="4A5568"/>
        <w:sz w:val="15"/>
        <w:szCs w:val="15"/>
      </w:rPr>
      <w:t xml:space="preserve"> of </w:t>
    </w:r>
    <w:r>
      <w:rPr>
        <w:rFonts w:ascii="Arial" w:cs="Arial" w:eastAsia="Arial" w:hAnsi="Arial"/>
        <w:color w:val="4A5568"/>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pPr>
    <w:r>
      <w:rPr>
        <w:rFonts w:ascii="Arial" w:cs="Arial" w:eastAsia="Arial" w:hAnsi="Arial"/>
        <w:b/>
        <w:bCs/>
        <w:color w:val="061F4A"/>
        <w:sz w:val="16"/>
        <w:szCs w:val="16"/>
      </w:rPr>
      <w:t xml:space="preserve">HydroSovereign AI Engine v6.0.3  --  Manual v6.0  --  16 Tools  --  Plugin ID: 5040  --  GPL-3.0</w:t>
    </w:r>
  </w:p>
  <w:p>
    <w:pPr>
      <w:pBdr>
        <w:bottom w:val="single" w:color="0E6B6A" w:sz="3"/>
      </w:pBd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360"/>
      </w:pPr>
    </w:lvl>
    <w:lvl w:ilvl="1" w15:tentative="1">
      <w:start w:val="1"/>
      <w:numFmt w:val="bullet"/>
      <w:lvlText w:val="-"/>
      <w:lvlJc w:val="left"/>
      <w:pPr>
        <w:ind w:left="840" w:hanging="360"/>
      </w:pPr>
    </w:lvl>
  </w:abstractNum>
  <w:abstractNum w:abstractNumId="3" w15:restartNumberingAfterBreak="0">
    <w:multiLevelType w:val="hybridMultilevel"/>
    <w:lvl w:ilvl="0" w15:tentative="1">
      <w:start w:val="1"/>
      <w:numFmt w:val="decimal"/>
      <w:lvlText w:val="%1."/>
      <w:lvlJc w:val="left"/>
      <w:pPr>
        <w:ind w:left="48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0"/>
      <w:outlineLvl w:val="0"/>
    </w:pPr>
    <w:rPr>
      <w:rFonts w:ascii="Arial" w:cs="Arial" w:eastAsia="Arial" w:hAnsi="Arial"/>
      <w:b/>
      <w:bCs/>
      <w:color w:val="FFFFFF"/>
      <w:sz w:val="28"/>
      <w:szCs w:val="28"/>
    </w:rPr>
  </w:style>
  <w:style w:type="paragraph" w:styleId="Heading2">
    <w:name w:val="Heading 2"/>
    <w:basedOn w:val="Normal"/>
    <w:next w:val="Normal"/>
    <w:qFormat/>
    <w:pPr>
      <w:spacing w:after="80" w:before="160"/>
      <w:outlineLvl w:val="1"/>
    </w:pPr>
    <w:rPr>
      <w:rFonts w:ascii="Arial" w:cs="Arial" w:eastAsia="Arial" w:hAnsi="Arial"/>
      <w:b/>
      <w:bCs/>
      <w:color w:val="061F4A"/>
      <w:sz w:val="24"/>
      <w:szCs w:val="24"/>
    </w:rPr>
  </w:style>
  <w:style w:type="paragraph" w:styleId="Heading3">
    <w:name w:val="Heading 3"/>
    <w:basedOn w:val="Normal"/>
    <w:next w:val="Normal"/>
    <w:qFormat/>
    <w:pPr>
      <w:spacing w:after="60" w:before="130"/>
      <w:outlineLvl w:val="2"/>
    </w:pPr>
    <w:rPr>
      <w:rFonts w:ascii="Arial" w:cs="Arial" w:eastAsia="Arial" w:hAnsi="Arial"/>
      <w:b/>
      <w:bCs/>
      <w:color w:val="0E6B6A"/>
      <w:sz w:val="20"/>
      <w:szCs w:val="20"/>
    </w:rPr>
  </w:style>
  <w:style w:type="paragraph" w:styleId="Heading4">
    <w:name w:val="Heading 4"/>
    <w:basedOn w:val="Normal"/>
    <w:next w:val="Normal"/>
    <w:qFormat/>
    <w:pPr>
      <w:spacing w:after="50" w:before="100"/>
      <w:outlineLvl w:val="3"/>
    </w:pPr>
    <w:rPr>
      <w:rFonts w:ascii="Arial" w:cs="Arial" w:eastAsia="Arial" w:hAnsi="Arial"/>
      <w:b/>
      <w:bCs/>
      <w:color w:val="4A5568"/>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2026-04-24T21:40:18.079Z</dcterms:created>
  <dcterms:modified xsi:type="dcterms:W3CDTF">2026-04-24T21:40:18.080Z</dcterms:modified>
</cp:coreProperties>
</file>

<file path=docProps/custom.xml><?xml version="1.0" encoding="utf-8"?>
<Properties xmlns="http://schemas.openxmlformats.org/officeDocument/2006/custom-properties" xmlns:vt="http://schemas.openxmlformats.org/officeDocument/2006/docPropsVTypes"/>
</file>