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40"/>
      </w:pPr>
    </w:p>
    <w:p>
      <w:pPr>
        <w:jc w:val="center"/>
      </w:pPr>
      <w:r>
        <w:rPr>
          <w:lang w:val="es-PE"/>
        </w:rPr>
        <w:drawing>
          <wp:inline xmlns:a="http://schemas.openxmlformats.org/drawingml/2006/main" xmlns:pic="http://schemas.openxmlformats.org/drawingml/2006/picture">
            <wp:extent cx="1325880" cy="1325880"/>
            <wp:docPr id="1" name="Picture 1" title="Icono de HidroCN" descr="Icono del complemento HidroCN con una cuenca, drenaje y las letras C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co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3258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rPr>
          <w:lang w:val="es-PE"/>
        </w:rPr>
        <w:t>HidroCN – Curva Número</w:t>
      </w:r>
    </w:p>
    <w:p>
      <w:pPr>
        <w:pStyle w:val="Subtitle"/>
        <w:jc w:val="center"/>
      </w:pPr>
      <w:r>
        <w:rPr>
          <w:lang w:val="es-PE"/>
        </w:rPr>
        <w:t>Manual técnico y de usuario</w:t>
      </w:r>
    </w:p>
    <w:p>
      <w:pPr>
        <w:jc w:val="center"/>
      </w:pPr>
      <w:r>
        <w:rPr>
          <w:b/>
          <w:color w:val="4D8F3A"/>
          <w:sz w:val="28"/>
          <w:lang w:val="es-PE"/>
        </w:rPr>
        <w:t>Versión pública estable 0.5.0</w:t>
      </w:r>
    </w:p>
    <w:p>
      <w:pPr>
        <w:spacing w:after="68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  <w:tblHeader w:val="true"/>
        </w:trPr>
        <w:tc>
          <w:tcPr>
            <w:tcW w:type="dxa" w:w="238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Dato</w:t>
            </w:r>
          </w:p>
        </w:tc>
        <w:tc>
          <w:tcPr>
            <w:tcW w:type="dxa" w:w="6520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Valor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8"/>
              </w:rPr>
              <w:t>Autor</w:t>
            </w:r>
          </w:p>
        </w:tc>
        <w:tc>
          <w:tcPr>
            <w:tcW w:type="dxa" w:w="6520"/>
            <w:vAlign w:val="center"/>
          </w:tcPr>
          <w:p>
            <w:r/>
            <w:r>
              <w:rPr>
                <w:rFonts w:ascii="Aptos" w:hAnsi="Aptos"/>
                <w:b w:val="0"/>
                <w:sz w:val="18"/>
              </w:rPr>
              <w:t>Victor Olivos</w:t>
            </w:r>
          </w:p>
        </w:tc>
      </w:tr>
      <w:tr>
        <w:tc>
          <w:tcPr>
            <w:tcW w:type="dxa" w:w="238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8"/>
              </w:rPr>
              <w:t>Compatibilidad</w:t>
            </w:r>
          </w:p>
        </w:tc>
        <w:tc>
          <w:tcPr>
            <w:tcW w:type="dxa" w:w="6520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8"/>
              </w:rPr>
              <w:t>QGIS 3.28–3.99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8"/>
              </w:rPr>
              <w:t>Licencia</w:t>
            </w:r>
          </w:p>
        </w:tc>
        <w:tc>
          <w:tcPr>
            <w:tcW w:type="dxa" w:w="6520"/>
            <w:vAlign w:val="center"/>
          </w:tcPr>
          <w:p>
            <w:r/>
            <w:r>
              <w:rPr>
                <w:rFonts w:ascii="Aptos" w:hAnsi="Aptos"/>
                <w:b w:val="0"/>
                <w:sz w:val="18"/>
              </w:rPr>
              <w:t>GNU GPL v3 o posterior</w:t>
            </w:r>
          </w:p>
        </w:tc>
      </w:tr>
      <w:tr>
        <w:tc>
          <w:tcPr>
            <w:tcW w:type="dxa" w:w="238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8"/>
              </w:rPr>
              <w:t>Fecha</w:t>
            </w:r>
          </w:p>
        </w:tc>
        <w:tc>
          <w:tcPr>
            <w:tcW w:type="dxa" w:w="6520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8"/>
              </w:rPr>
              <w:t>14 de septiembre de 2026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8"/>
              </w:rPr>
              <w:t>Repositorio</w:t>
            </w:r>
          </w:p>
        </w:tc>
        <w:tc>
          <w:tcPr>
            <w:tcW w:type="dxa" w:w="6520"/>
            <w:vAlign w:val="center"/>
          </w:tcPr>
          <w:p>
            <w:r/>
            <w:r>
              <w:rPr>
                <w:rFonts w:ascii="Aptos" w:hAnsi="Aptos"/>
                <w:b w:val="0"/>
                <w:sz w:val="18"/>
              </w:rPr>
              <w:t>github.com/victoroalvites-cpu/HidroCN-QGIS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DF5E9"/>
          </w:tcPr>
          <w:p>
            <w:r/>
            <w:r>
              <w:rPr>
                <w:b/>
              </w:rPr>
              <w:t xml:space="preserve">Propósito: </w:t>
            </w:r>
            <w:r>
              <w:t>Obtener mapas SCS-CN reproducibles mediante descarga desde Google Earth Engine o cálculo local tipo HEC-GeoHMS, y resumirlos por cuenca o subcuenca.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Control del documento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rPr>
          <w:tblHeader w:val="true"/>
          <w:tblHeader w:val="true"/>
        </w:trPr>
        <w:tc>
          <w:tcPr>
            <w:tcW w:type="dxa" w:w="1247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Versión</w:t>
            </w:r>
          </w:p>
        </w:tc>
        <w:tc>
          <w:tcPr>
            <w:tcW w:type="dxa" w:w="1757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Estado</w:t>
            </w:r>
          </w:p>
        </w:tc>
        <w:tc>
          <w:tcPr>
            <w:tcW w:type="dxa" w:w="5896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Descripción</w:t>
            </w:r>
          </w:p>
        </w:tc>
      </w:tr>
      <w:tr>
        <w:tc>
          <w:tcPr>
            <w:tcW w:type="dxa" w:w="124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0.5.0</w:t>
            </w:r>
          </w:p>
        </w:tc>
        <w:tc>
          <w:tcPr>
            <w:tcW w:type="dxa" w:w="175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Pública estable</w:t>
            </w:r>
          </w:p>
        </w:tc>
        <w:tc>
          <w:tcPr>
            <w:tcW w:type="dxa" w:w="5896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Manual consolidado para la primera publicación pública.</w:t>
            </w:r>
          </w:p>
        </w:tc>
      </w:tr>
      <w:tr>
        <w:tc>
          <w:tcPr>
            <w:tcW w:type="dxa" w:w="124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0.4.1</w:t>
            </w:r>
          </w:p>
        </w:tc>
        <w:tc>
          <w:tcPr>
            <w:tcW w:type="dxa" w:w="175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Previa</w:t>
            </w:r>
          </w:p>
        </w:tc>
        <w:tc>
          <w:tcPr>
            <w:tcW w:type="dxa" w:w="5896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Fórmulas ANA de conversión de condiciones antecedentes.</w:t>
            </w:r>
          </w:p>
        </w:tc>
      </w:tr>
      <w:tr>
        <w:tc>
          <w:tcPr>
            <w:tcW w:type="dxa" w:w="124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0.4.0</w:t>
            </w:r>
          </w:p>
        </w:tc>
        <w:tc>
          <w:tcPr>
            <w:tcW w:type="dxa" w:w="175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Previa</w:t>
            </w:r>
          </w:p>
        </w:tc>
        <w:tc>
          <w:tcPr>
            <w:tcW w:type="dxa" w:w="5896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Icono propio y estadísticas por subunidad para GEE.</w:t>
            </w:r>
          </w:p>
        </w:tc>
      </w:tr>
    </w:tbl>
    <w:p>
      <w:pPr>
        <w:pStyle w:val="Heading2"/>
        <w:keepNext/>
      </w:pPr>
      <w:r>
        <w:rPr>
          <w:lang w:val="es-PE"/>
        </w:rPr>
        <w:t>Contenido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  <w:tblHeader w:val="true"/>
        </w:trPr>
        <w:tc>
          <w:tcPr>
            <w:tcW w:type="dxa" w:w="7597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Sección</w:t>
            </w:r>
          </w:p>
        </w:tc>
        <w:tc>
          <w:tcPr>
            <w:tcW w:type="dxa" w:w="119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Página</w:t>
            </w:r>
          </w:p>
        </w:tc>
      </w:tr>
      <w:tr>
        <w:tc>
          <w:tcPr>
            <w:tcW w:type="dxa" w:w="759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1. Alcance y conceptos</w:t>
            </w:r>
          </w:p>
        </w:tc>
        <w:tc>
          <w:tcPr>
            <w:tcW w:type="dxa" w:w="11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</w:tr>
      <w:tr>
        <w:tc>
          <w:tcPr>
            <w:tcW w:type="dxa" w:w="759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2. Instalación</w:t>
            </w:r>
          </w:p>
        </w:tc>
        <w:tc>
          <w:tcPr>
            <w:tcW w:type="dxa" w:w="119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</w:tr>
      <w:tr>
        <w:tc>
          <w:tcPr>
            <w:tcW w:type="dxa" w:w="759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3. Cuenca, subcuencas y SRC</w:t>
            </w:r>
          </w:p>
        </w:tc>
        <w:tc>
          <w:tcPr>
            <w:tcW w:type="dxa" w:w="11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</w:tr>
      <w:tr>
        <w:tc>
          <w:tcPr>
            <w:tcW w:type="dxa" w:w="759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4. Entradas del cálculo local</w:t>
            </w:r>
          </w:p>
        </w:tc>
        <w:tc>
          <w:tcPr>
            <w:tcW w:type="dxa" w:w="119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</w:tr>
      <w:tr>
        <w:tc>
          <w:tcPr>
            <w:tcW w:type="dxa" w:w="759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5. Biblioteca ANA / NumCurv</w:t>
            </w:r>
          </w:p>
        </w:tc>
        <w:tc>
          <w:tcPr>
            <w:tcW w:type="dxa" w:w="11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</w:tr>
      <w:tr>
        <w:tc>
          <w:tcPr>
            <w:tcW w:type="dxa" w:w="759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6. Flujo local HEC-GeoHMS</w:t>
            </w:r>
          </w:p>
        </w:tc>
        <w:tc>
          <w:tcPr>
            <w:tcW w:type="dxa" w:w="119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</w:tr>
      <w:tr>
        <w:tc>
          <w:tcPr>
            <w:tcW w:type="dxa" w:w="759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7. Descarga desde Google Earth Engine</w:t>
            </w:r>
          </w:p>
        </w:tc>
        <w:tc>
          <w:tcPr>
            <w:tcW w:type="dxa" w:w="11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9</w:t>
            </w:r>
          </w:p>
        </w:tc>
      </w:tr>
      <w:tr>
        <w:tc>
          <w:tcPr>
            <w:tcW w:type="dxa" w:w="759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8. Condiciones CN y fórmulas</w:t>
            </w:r>
          </w:p>
        </w:tc>
        <w:tc>
          <w:tcPr>
            <w:tcW w:type="dxa" w:w="119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10</w:t>
            </w:r>
          </w:p>
        </w:tc>
      </w:tr>
      <w:tr>
        <w:tc>
          <w:tcPr>
            <w:tcW w:type="dxa" w:w="759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9. Salidas y estadísticas areales</w:t>
            </w:r>
          </w:p>
        </w:tc>
        <w:tc>
          <w:tcPr>
            <w:tcW w:type="dxa" w:w="11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11</w:t>
            </w:r>
          </w:p>
        </w:tc>
      </w:tr>
      <w:tr>
        <w:tc>
          <w:tcPr>
            <w:tcW w:type="dxa" w:w="759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10. Control de calidad</w:t>
            </w:r>
          </w:p>
        </w:tc>
        <w:tc>
          <w:tcPr>
            <w:tcW w:type="dxa" w:w="119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12</w:t>
            </w:r>
          </w:p>
        </w:tc>
      </w:tr>
      <w:tr>
        <w:tc>
          <w:tcPr>
            <w:tcW w:type="dxa" w:w="759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11. Solución de problemas</w:t>
            </w:r>
          </w:p>
        </w:tc>
        <w:tc>
          <w:tcPr>
            <w:tcW w:type="dxa" w:w="11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13</w:t>
            </w:r>
          </w:p>
        </w:tc>
      </w:tr>
      <w:tr>
        <w:tc>
          <w:tcPr>
            <w:tcW w:type="dxa" w:w="759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12. Notas técnicas y seguridad</w:t>
            </w:r>
          </w:p>
        </w:tc>
        <w:tc>
          <w:tcPr>
            <w:tcW w:type="dxa" w:w="119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14</w:t>
            </w:r>
          </w:p>
        </w:tc>
      </w:tr>
      <w:tr>
        <w:tc>
          <w:tcPr>
            <w:tcW w:type="dxa" w:w="759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13. Referencias y soporte</w:t>
            </w:r>
          </w:p>
        </w:tc>
        <w:tc>
          <w:tcPr>
            <w:tcW w:type="dxa" w:w="11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15</w:t>
            </w:r>
          </w:p>
        </w:tc>
      </w:tr>
    </w:tbl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1. Alcance y conceptos</w:t>
      </w:r>
    </w:p>
    <w:p>
      <w:pPr>
        <w:spacing w:after="100" w:line="252" w:lineRule="auto"/>
      </w:pPr>
      <w:r>
        <w:rPr>
          <w:lang w:val="es-PE"/>
        </w:rPr>
        <w:t>HidroCN ofrece dos rutas independientes para producir mapas de número de curva SCS. Ambas parten de una capa poligonal y generan GeoTIFF en un SRC proyectado elegido por el usuario.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rPr>
          <w:tblHeader w:val="true"/>
          <w:tblHeader w:val="true"/>
        </w:trPr>
        <w:tc>
          <w:tcPr>
            <w:tcW w:type="dxa" w:w="181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Ruta</w:t>
            </w:r>
          </w:p>
        </w:tc>
        <w:tc>
          <w:tcPr>
            <w:tcW w:type="dxa" w:w="3515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Entradas principales</w:t>
            </w:r>
          </w:p>
        </w:tc>
        <w:tc>
          <w:tcPr>
            <w:tcW w:type="dxa" w:w="345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Uso recomendado</w:t>
            </w:r>
          </w:p>
        </w:tc>
      </w:tr>
      <w:tr>
        <w:tc>
          <w:tcPr>
            <w:tcW w:type="dxa" w:w="181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Desde GEE</w:t>
            </w:r>
          </w:p>
        </w:tc>
        <w:tc>
          <w:tcPr>
            <w:tcW w:type="dxa" w:w="3515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Cuenca, proyecto Google Cloud, fuente CN y resolución</w:t>
            </w:r>
          </w:p>
        </w:tc>
        <w:tc>
          <w:tcPr>
            <w:tcW w:type="dxa" w:w="345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Obtener rápidamente CN Perú, GCN250 o un asset propio.</w:t>
            </w:r>
          </w:p>
        </w:tc>
      </w:tr>
      <w:tr>
        <w:tc>
          <w:tcPr>
            <w:tcW w:type="dxa" w:w="181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Local HEC-GeoHMS</w:t>
            </w:r>
          </w:p>
        </w:tc>
        <w:tc>
          <w:tcPr>
            <w:tcW w:type="dxa" w:w="3515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Cuenca, LULC, HSG y tabla CN A–D</w:t>
            </w:r>
          </w:p>
        </w:tc>
        <w:tc>
          <w:tcPr>
            <w:tcW w:type="dxa" w:w="345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Controlar la correspondencia de coberturas y construir el grid local.</w:t>
            </w:r>
          </w:p>
        </w:tc>
      </w:tr>
    </w:tbl>
    <w:p>
      <w:pPr>
        <w:pStyle w:val="Heading2"/>
        <w:keepNext/>
      </w:pPr>
      <w:r>
        <w:rPr>
          <w:lang w:val="es-PE"/>
        </w:rPr>
        <w:t>Conceptos esenciales</w:t>
      </w:r>
    </w:p>
    <w:p>
      <w:pPr>
        <w:pStyle w:val="ListBullet"/>
        <w:spacing w:after="40"/>
      </w:pPr>
      <w:r>
        <w:rPr>
          <w:lang w:val="es-PE"/>
        </w:rPr>
        <w:t>CN-II representa la condición antecedente normal o promedio y es la base del cálculo local.</w:t>
      </w:r>
    </w:p>
    <w:p>
      <w:pPr>
        <w:pStyle w:val="ListBullet"/>
        <w:spacing w:after="40"/>
      </w:pPr>
      <w:r>
        <w:rPr>
          <w:lang w:val="es-PE"/>
        </w:rPr>
        <w:t>CN-I y CN-III representan condiciones seca y húmeda; pueden ser productos nativos de GCN250 o derivados de CN-II, según la fuente.</w:t>
      </w:r>
    </w:p>
    <w:p>
      <w:pPr>
        <w:pStyle w:val="ListBullet"/>
        <w:spacing w:after="40"/>
      </w:pPr>
      <w:r>
        <w:rPr>
          <w:lang w:val="es-PE"/>
        </w:rPr>
        <w:t>LULC es el raster de uso o cobertura del suelo. Sus códigos dependen del producto y no tienen una equivalencia universal.</w:t>
      </w:r>
    </w:p>
    <w:p>
      <w:pPr>
        <w:pStyle w:val="ListBullet"/>
        <w:spacing w:after="40"/>
      </w:pPr>
      <w:r>
        <w:rPr>
          <w:lang w:val="es-PE"/>
        </w:rPr>
        <w:t>HSG es el grupo hidrológico del suelo, codificado en HidroCN como 1=A, 2=B, 3=C y 4=D.</w:t>
      </w:r>
    </w:p>
    <w:p>
      <w:pPr>
        <w:pStyle w:val="ListBullet"/>
        <w:spacing w:after="40"/>
      </w:pPr>
      <w:r>
        <w:rPr>
          <w:lang w:val="es-PE"/>
        </w:rPr>
        <w:t>La estadística areal es la media de celdas válidas asignadas a cada subunidad, no el promedio de los mínimos y máximos.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Decisión: </w:t>
            </w:r>
            <w:r>
              <w:t>Use GEE cuando necesite un producto CN ya elaborado. Use el cálculo local cuando deba justificar la relación entre cobertura, suelo y CN.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2. Instalación</w:t>
      </w:r>
    </w:p>
    <w:p>
      <w:pPr>
        <w:pStyle w:val="Heading2"/>
        <w:keepNext/>
      </w:pPr>
      <w:r>
        <w:rPr>
          <w:lang w:val="es-PE"/>
        </w:rPr>
        <w:t>Desde el repositorio oficial de complementos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1.  </w:t>
      </w:r>
      <w:r>
        <w:rPr>
          <w:lang w:val="es-PE"/>
        </w:rPr>
        <w:t>Abra Complementos &gt; Administrar e instalar complementos en QGIS.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2.  </w:t>
      </w:r>
      <w:r>
        <w:rPr>
          <w:lang w:val="es-PE"/>
        </w:rPr>
        <w:t>Busque HidroCN - Curva Numero.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3.  </w:t>
      </w:r>
      <w:r>
        <w:rPr>
          <w:lang w:val="es-PE"/>
        </w:rPr>
        <w:t>Pulse Instalar complemento y cierre el administrador.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4.  </w:t>
      </w:r>
      <w:r>
        <w:rPr>
          <w:lang w:val="es-PE"/>
        </w:rPr>
        <w:t>Abra HidroCN desde la barra de herramientas o el menú Complementos &gt; HidroCN.</w:t>
      </w:r>
    </w:p>
    <w:p>
      <w:pPr>
        <w:pStyle w:val="Heading2"/>
        <w:keepNext/>
      </w:pPr>
      <w:r>
        <w:rPr>
          <w:lang w:val="es-PE"/>
        </w:rPr>
        <w:t>Instalación manual desde ZIP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1.  </w:t>
      </w:r>
      <w:r>
        <w:rPr>
          <w:lang w:val="es-PE"/>
        </w:rPr>
        <w:t>Descargue el archivo HidroCN_QGIS_v0.5.0.zip.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2.  </w:t>
      </w:r>
      <w:r>
        <w:rPr>
          <w:lang w:val="es-PE"/>
        </w:rPr>
        <w:t>En el administrador, elija Instalar desde ZIP.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3.  </w:t>
      </w:r>
      <w:r>
        <w:rPr>
          <w:lang w:val="es-PE"/>
        </w:rPr>
        <w:t>Seleccione el archivo, confirme la advertencia si procede y active HidroCN.</w:t>
      </w:r>
    </w:p>
    <w:p>
      <w:pPr>
        <w:pStyle w:val="Heading2"/>
        <w:keepNext/>
      </w:pPr>
      <w:r>
        <w:rPr>
          <w:lang w:val="es-PE"/>
        </w:rPr>
        <w:t>Dependencia opcional para Google Earth Engine</w:t>
      </w:r>
    </w:p>
    <w:p>
      <w:pPr>
        <w:spacing w:after="100" w:line="252" w:lineRule="auto"/>
      </w:pPr>
      <w:r>
        <w:rPr>
          <w:lang w:val="es-PE"/>
        </w:rPr>
        <w:t>El cálculo local funciona con NumPy y GDAL/OGR incluidos en QGIS. Solo la ruta GEE requiere earthengine-api en el Python de QGIS.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  <w:tblHeader w:val="true"/>
        </w:trPr>
        <w:tc>
          <w:tcPr>
            <w:tcW w:type="dxa" w:w="181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Entorno</w:t>
            </w:r>
          </w:p>
        </w:tc>
        <w:tc>
          <w:tcPr>
            <w:tcW w:type="dxa" w:w="6973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Comando orientativo</w:t>
            </w:r>
          </w:p>
        </w:tc>
      </w:tr>
      <w:tr>
        <w:tc>
          <w:tcPr>
            <w:tcW w:type="dxa" w:w="181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PowerShell</w:t>
            </w:r>
          </w:p>
        </w:tc>
        <w:tc>
          <w:tcPr>
            <w:tcW w:type="dxa" w:w="6973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&amp; "RUTA\A\QGIS\apps\Python312\python.exe" -m pip install --user "earthengine-api&gt;=1.5,&lt;2"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Importante: </w:t>
            </w:r>
            <w:r>
              <w:t>En PowerShell, el operador &amp; debe ir antes de una ruta ejecutable entre comillas. Use el botón Cómo instalar la API para copiar el comando adaptado a su QGIS y reinicie QGIS después.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3. Cuenca, subcuencas y SRC</w:t>
      </w:r>
    </w:p>
    <w:p>
      <w:pPr>
        <w:pStyle w:val="Heading2"/>
        <w:keepNext/>
      </w:pPr>
      <w:r>
        <w:rPr>
          <w:lang w:val="es-PE"/>
        </w:rPr>
        <w:t>Capa poligonal</w:t>
      </w:r>
    </w:p>
    <w:p>
      <w:pPr>
        <w:pStyle w:val="ListBullet"/>
        <w:spacing w:after="40"/>
      </w:pPr>
      <w:r>
        <w:rPr>
          <w:lang w:val="es-PE"/>
        </w:rPr>
        <w:t>Debe contener geometrías poligonales válidas.</w:t>
      </w:r>
    </w:p>
    <w:p>
      <w:pPr>
        <w:pStyle w:val="ListBullet"/>
        <w:spacing w:after="40"/>
      </w:pPr>
      <w:r>
        <w:rPr>
          <w:lang w:val="es-PE"/>
        </w:rPr>
        <w:t>Puede representar una cuenca única o varias subcuencas.</w:t>
      </w:r>
    </w:p>
    <w:p>
      <w:pPr>
        <w:pStyle w:val="ListBullet"/>
        <w:spacing w:after="40"/>
      </w:pPr>
      <w:r>
        <w:rPr>
          <w:lang w:val="es-PE"/>
        </w:rPr>
        <w:t>Active Procesar solo los elementos seleccionados para limitar el análisis.</w:t>
      </w:r>
    </w:p>
    <w:p>
      <w:pPr>
        <w:pStyle w:val="ListBullet"/>
        <w:spacing w:after="40"/>
      </w:pPr>
      <w:r>
        <w:rPr>
          <w:lang w:val="es-PE"/>
        </w:rPr>
        <w:t>Elija un identificador único y no vacío para conservar la trazabilidad de cada subunidad.</w:t>
      </w:r>
    </w:p>
    <w:p>
      <w:pPr>
        <w:pStyle w:val="Heading2"/>
        <w:keepNext/>
      </w:pPr>
      <w:r>
        <w:rPr>
          <w:lang w:val="es-PE"/>
        </w:rPr>
        <w:t>Sistema de referencia</w:t>
      </w:r>
    </w:p>
    <w:p>
      <w:pPr>
        <w:spacing w:after="100" w:line="252" w:lineRule="auto"/>
      </w:pPr>
      <w:r>
        <w:rPr>
          <w:lang w:val="es-PE"/>
        </w:rPr>
        <w:t>La capa de entrada puede estar en coordenadas geográficas o proyectadas. HidroCN transforma temporalmente la geometría a WGS 84 para enviarla a GEE y guarda los resultados en el SRC proyectado seleccionado.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  <w:tblHeader w:val="true"/>
        </w:trPr>
        <w:tc>
          <w:tcPr>
            <w:tcW w:type="dxa" w:w="238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Elemento</w:t>
            </w:r>
          </w:p>
        </w:tc>
        <w:tc>
          <w:tcPr>
            <w:tcW w:type="dxa" w:w="6406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SRC utilizado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Geometría enviada a GEE</w:t>
            </w:r>
          </w:p>
        </w:tc>
        <w:tc>
          <w:tcPr>
            <w:tcW w:type="dxa" w:w="6406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WGS 84 (EPSG:4326), de forma temporal; no se crea un asset de la cuenca.</w:t>
            </w:r>
          </w:p>
        </w:tc>
      </w:tr>
      <w:tr>
        <w:tc>
          <w:tcPr>
            <w:tcW w:type="dxa" w:w="238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GeoTIFF de salida</w:t>
            </w:r>
          </w:p>
        </w:tc>
        <w:tc>
          <w:tcPr>
            <w:tcW w:type="dxa" w:w="6406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SRC proyectado seleccionado en HidroCN, por ejemplo WGS 84 / UTM 18S.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Cálculo local</w:t>
            </w:r>
          </w:p>
        </w:tc>
        <w:tc>
          <w:tcPr>
            <w:tcW w:type="dxa" w:w="6406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Malla común en el SRC proyectado y resolución elegidos.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UTM: </w:t>
            </w:r>
            <w:r>
              <w:t>Use Sugerir UTM desde la cuenca y compruebe que el huso sea apropiado si la cuenca cruza un límite de zona.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4. Entradas del cálculo local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rPr>
          <w:tblHeader w:val="true"/>
          <w:tblHeader w:val="true"/>
        </w:trPr>
        <w:tc>
          <w:tcPr>
            <w:tcW w:type="dxa" w:w="181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Entrada</w:t>
            </w:r>
          </w:p>
        </w:tc>
        <w:tc>
          <w:tcPr>
            <w:tcW w:type="dxa" w:w="3572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Requisito</w:t>
            </w:r>
          </w:p>
        </w:tc>
        <w:tc>
          <w:tcPr>
            <w:tcW w:type="dxa" w:w="3402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Control previo</w:t>
            </w:r>
          </w:p>
        </w:tc>
      </w:tr>
      <w:tr>
        <w:tc>
          <w:tcPr>
            <w:tcW w:type="dxa" w:w="181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LULC</w:t>
            </w:r>
          </w:p>
        </w:tc>
        <w:tc>
          <w:tcPr>
            <w:tcW w:type="dxa" w:w="3572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Raster con códigos enteros de cobertura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Verificar leyenda, fecha y fuente.</w:t>
            </w:r>
          </w:p>
        </w:tc>
      </w:tr>
      <w:tr>
        <w:tc>
          <w:tcPr>
            <w:tcW w:type="dxa" w:w="181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HSG</w:t>
            </w:r>
          </w:p>
        </w:tc>
        <w:tc>
          <w:tcPr>
            <w:tcW w:type="dxa" w:w="3572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Raster con valores 1=A, 2=B, 3=C, 4=D</w:t>
            </w:r>
          </w:p>
        </w:tc>
        <w:tc>
          <w:tcPr>
            <w:tcW w:type="dxa" w:w="3402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Reclasificar otros códigos; resolver grupos dobles.</w:t>
            </w:r>
          </w:p>
        </w:tc>
      </w:tr>
      <w:tr>
        <w:tc>
          <w:tcPr>
            <w:tcW w:type="dxa" w:w="181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Tabla CN</w:t>
            </w:r>
          </w:p>
        </w:tc>
        <w:tc>
          <w:tcPr>
            <w:tcW w:type="dxa" w:w="3572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CSV con LUValue, Description, A, B, C, D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Cada código LULC utilizado debe tener una fila válida.</w:t>
            </w:r>
          </w:p>
        </w:tc>
      </w:tr>
      <w:tr>
        <w:tc>
          <w:tcPr>
            <w:tcW w:type="dxa" w:w="181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Subcuencas</w:t>
            </w:r>
          </w:p>
        </w:tc>
        <w:tc>
          <w:tcPr>
            <w:tcW w:type="dxa" w:w="3572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Polígonos con identificador único</w:t>
            </w:r>
          </w:p>
        </w:tc>
        <w:tc>
          <w:tcPr>
            <w:tcW w:type="dxa" w:w="3402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Reparar geometrías y evitar solapes.</w:t>
            </w:r>
          </w:p>
        </w:tc>
      </w:tr>
    </w:tbl>
    <w:p>
      <w:pPr>
        <w:pStyle w:val="Heading2"/>
        <w:keepNext/>
      </w:pPr>
      <w:r>
        <w:rPr>
          <w:lang w:val="es-PE"/>
        </w:rPr>
        <w:t>Resolución y alineación</w:t>
      </w:r>
    </w:p>
    <w:p>
      <w:pPr>
        <w:spacing w:after="100" w:line="252" w:lineRule="auto"/>
      </w:pPr>
      <w:r>
        <w:rPr>
          <w:lang w:val="es-PE"/>
        </w:rPr>
        <w:t>LULC y HSG no necesitan tener inicialmente el mismo tamaño de píxel que un DEM. HidroCN los reproyecta, recorta y alinea a una malla común definida por el SRC, la extensión ajustada de la cuenca y la resolución de salida.</w:t>
      </w:r>
    </w:p>
    <w:p>
      <w:pPr>
        <w:pStyle w:val="ListBullet"/>
        <w:spacing w:after="40"/>
      </w:pPr>
      <w:r>
        <w:rPr>
          <w:lang w:val="es-PE"/>
        </w:rPr>
        <w:t>Se usa vecino más cercano para preservar códigos categóricos.</w:t>
      </w:r>
    </w:p>
    <w:p>
      <w:pPr>
        <w:pStyle w:val="ListBullet"/>
        <w:spacing w:after="40"/>
      </w:pPr>
      <w:r>
        <w:rPr>
          <w:lang w:val="es-PE"/>
        </w:rPr>
        <w:t>Elegir una resolución menor que la fuente no crea detalle nuevo.</w:t>
      </w:r>
    </w:p>
    <w:p>
      <w:pPr>
        <w:pStyle w:val="ListBullet"/>
        <w:spacing w:after="40"/>
      </w:pPr>
      <w:r>
        <w:rPr>
          <w:lang w:val="es-PE"/>
        </w:rPr>
        <w:t>La resolución debe ser coherente con la fuente más gruesa y el objetivo del estudio.</w:t>
      </w:r>
    </w:p>
    <w:p>
      <w:pPr>
        <w:pStyle w:val="ListBullet"/>
        <w:spacing w:after="40"/>
      </w:pPr>
      <w:r>
        <w:rPr>
          <w:lang w:val="es-PE"/>
        </w:rPr>
        <w:t>Las celdas sin combinación definida quedan como NoData (-9999), no reciben un CN inventado.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DEM: </w:t>
            </w:r>
            <w:r>
              <w:t>HidroCN 0.5.0 no necesita un DEM para construir el grid CN. El DEM pertenece a otros pasos de modelación, como delimitación o pendientes.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5. Biblioteca ANA / NumCurv</w:t>
      </w:r>
    </w:p>
    <w:p>
      <w:pPr>
        <w:spacing w:after="100" w:line="252" w:lineRule="auto"/>
      </w:pPr>
      <w:r>
        <w:rPr>
          <w:lang w:val="es-PE"/>
        </w:rPr>
        <w:t>La biblioteca ayuda a construir la tabla CN requerida por el cálculo local. Detecta los códigos enteros presentes en LULC y permite asignar una categoría documentada a cada código.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rPr>
          <w:tblHeader w:val="true"/>
          <w:tblHeader w:val="true"/>
        </w:trPr>
        <w:tc>
          <w:tcPr>
            <w:tcW w:type="dxa" w:w="289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Catálogo visible</w:t>
            </w:r>
          </w:p>
        </w:tc>
        <w:tc>
          <w:tcPr>
            <w:tcW w:type="dxa" w:w="328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Contenido</w:t>
            </w:r>
          </w:p>
        </w:tc>
        <w:tc>
          <w:tcPr>
            <w:tcW w:type="dxa" w:w="260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Criterio de uso</w:t>
            </w:r>
          </w:p>
        </w:tc>
      </w:tr>
      <w:tr>
        <w:tc>
          <w:tcPr>
            <w:tcW w:type="dxa" w:w="28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ANA 2015 - Tabla 4 del modelo</w:t>
            </w:r>
          </w:p>
        </w:tc>
        <w:tc>
          <w:tcPr>
            <w:tcW w:type="dxa" w:w="328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13 coberturas y valores A–D transcritos del documento ANA0004219.</w:t>
            </w:r>
          </w:p>
        </w:tc>
        <w:tc>
          <w:tcPr>
            <w:tcW w:type="dxa" w:w="260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Adecuar cada clase LULC a la cobertura ANA más defendible.</w:t>
            </w:r>
          </w:p>
        </w:tc>
      </w:tr>
      <w:tr>
        <w:tc>
          <w:tcPr>
            <w:tcW w:type="dxa" w:w="289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NUMCURV - Tabla general</w:t>
            </w:r>
          </w:p>
        </w:tc>
        <w:tc>
          <w:tcPr>
            <w:tcW w:type="dxa" w:w="328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Coberturas, tratamiento y condición hidrológica de la tabla general.</w:t>
            </w:r>
          </w:p>
        </w:tc>
        <w:tc>
          <w:tcPr>
            <w:tcW w:type="dxa" w:w="260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Usar cuando la descripción y manejo coincidan con el estudio.</w:t>
            </w:r>
          </w:p>
        </w:tc>
      </w:tr>
      <w:tr>
        <w:tc>
          <w:tcPr>
            <w:tcW w:type="dxa" w:w="289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NUMCURV - Tabla de zonas áridas</w:t>
            </w:r>
          </w:p>
        </w:tc>
        <w:tc>
          <w:tcPr>
            <w:tcW w:type="dxa" w:w="328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Clases de vegetación y condición para ambientes áridos.</w:t>
            </w:r>
          </w:p>
        </w:tc>
        <w:tc>
          <w:tcPr>
            <w:tcW w:type="dxa" w:w="260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Usar con justificación en zonas áridas o semiáridas.</w:t>
            </w:r>
          </w:p>
        </w:tc>
      </w:tr>
    </w:tbl>
    <w:p>
      <w:pPr>
        <w:pStyle w:val="Heading2"/>
        <w:keepNext/>
      </w:pPr>
      <w:r>
        <w:rPr>
          <w:lang w:val="es-PE"/>
        </w:rPr>
        <w:t>Ejemplo: ESA WorldCover</w:t>
      </w:r>
    </w:p>
    <w:p>
      <w:pPr>
        <w:spacing w:after="100" w:line="252" w:lineRule="auto"/>
      </w:pPr>
      <w:r>
        <w:rPr>
          <w:lang w:val="es-PE"/>
        </w:rPr>
        <w:t>Los códigos ESA (10 árboles, 20 matorral, 30 pastizal, 40 cultivos, 50 urbano, 60 suelo desnudo, 70 nieve/hielo, 80 agua y 90 humedal) describen coberturas, pero no fijan por sí mismos el tratamiento ni la condición hidrológica. En la cuenca Lurín debe revisarse cada equivalencia según campo, escala y propósito.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Regla: </w:t>
            </w:r>
            <w:r>
              <w:t>Cambiar de MINAM a ESA WorldCover u otro producto cambia los códigos y puede cambiar las equivalencias. La tabla CN debe revisarse; no basta con reutilizarla por posición de fila.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6. Flujo local HEC-GeoHMS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1.  </w:t>
      </w:r>
      <w:r>
        <w:rPr>
          <w:lang w:val="es-PE"/>
        </w:rPr>
        <w:t>Seleccione la capa de cuenca o subcuencas y, si corresponde, los elementos seleccionados.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2.  </w:t>
      </w:r>
      <w:r>
        <w:rPr>
          <w:lang w:val="es-PE"/>
        </w:rPr>
        <w:t>Abra la pestaña Cálculo local HEC-GeoHMS.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3.  </w:t>
      </w:r>
      <w:r>
        <w:rPr>
          <w:lang w:val="es-PE"/>
        </w:rPr>
        <w:t>Seleccione LULC, HSG y el campo identificador de subunidad.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4.  </w:t>
      </w:r>
      <w:r>
        <w:rPr>
          <w:lang w:val="es-PE"/>
        </w:rPr>
        <w:t>Seleccione una tabla CSV, cree una plantilla o abra Biblioteca ANA / NumCurv.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5.  </w:t>
      </w:r>
      <w:r>
        <w:rPr>
          <w:lang w:val="es-PE"/>
        </w:rPr>
        <w:t>Asigne todos los códigos LULC utilizados y revise los valores A–D.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6.  </w:t>
      </w:r>
      <w:r>
        <w:rPr>
          <w:lang w:val="es-PE"/>
        </w:rPr>
        <w:t>Marque CN-I, CN-II y/o CN-III.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7.  </w:t>
      </w:r>
      <w:r>
        <w:rPr>
          <w:lang w:val="es-PE"/>
        </w:rPr>
        <w:t>Defina SRC proyectado, resolución, carpeta y prefijo de salida.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8.  </w:t>
      </w:r>
      <w:r>
        <w:rPr>
          <w:lang w:val="es-PE"/>
        </w:rPr>
        <w:t>Pulse Construir CN local y revise el registro, el informe HTML y el control de calidad.</w:t>
      </w:r>
    </w:p>
    <w:p>
      <w:pPr>
        <w:pStyle w:val="Heading2"/>
        <w:keepNext/>
      </w:pPr>
      <w:r>
        <w:rPr>
          <w:lang w:val="es-PE"/>
        </w:rPr>
        <w:t>Regla de cruce</w:t>
      </w:r>
    </w:p>
    <w:p>
      <w:pPr>
        <w:spacing w:after="100" w:line="252" w:lineRule="auto"/>
      </w:pPr>
      <w:r>
        <w:rPr>
          <w:lang w:val="es-PE"/>
        </w:rPr>
        <w:t>Para cada celda válida, HidroCN lee el código LULC, obtiene la fila correspondiente de la tabla y elige la columna A, B, C o D según el valor HSG. El resultado base es CN-II.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rPr>
          <w:tblHeader w:val="true"/>
          <w:tblHeader w:val="true"/>
        </w:trPr>
        <w:tc>
          <w:tcPr>
            <w:tcW w:type="dxa" w:w="147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LULC</w:t>
            </w:r>
          </w:p>
        </w:tc>
        <w:tc>
          <w:tcPr>
            <w:tcW w:type="dxa" w:w="130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HSG</w:t>
            </w:r>
          </w:p>
        </w:tc>
        <w:tc>
          <w:tcPr>
            <w:tcW w:type="dxa" w:w="294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Fila/columna</w:t>
            </w:r>
          </w:p>
        </w:tc>
        <w:tc>
          <w:tcPr>
            <w:tcW w:type="dxa" w:w="306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Resultado</w:t>
            </w:r>
          </w:p>
        </w:tc>
      </w:tr>
      <w:tr>
        <w:tc>
          <w:tcPr>
            <w:tcW w:type="dxa" w:w="147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40 (cultivo)</w:t>
            </w:r>
          </w:p>
        </w:tc>
        <w:tc>
          <w:tcPr>
            <w:tcW w:type="dxa" w:w="130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2 (B)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LUValue=40, columna B</w:t>
            </w:r>
          </w:p>
        </w:tc>
        <w:tc>
          <w:tcPr>
            <w:tcW w:type="dxa" w:w="306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CN-II asignado por la tabla</w:t>
            </w:r>
          </w:p>
        </w:tc>
      </w:tr>
      <w:tr>
        <w:tc>
          <w:tcPr>
            <w:tcW w:type="dxa" w:w="147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Código sin fila</w:t>
            </w:r>
          </w:p>
        </w:tc>
        <w:tc>
          <w:tcPr>
            <w:tcW w:type="dxa" w:w="130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Cualquiera</w:t>
            </w:r>
          </w:p>
        </w:tc>
        <w:tc>
          <w:tcPr>
            <w:tcW w:type="dxa" w:w="294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Sin correspondencia</w:t>
            </w:r>
          </w:p>
        </w:tc>
        <w:tc>
          <w:tcPr>
            <w:tcW w:type="dxa" w:w="306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NoData y advertencia</w:t>
            </w:r>
          </w:p>
        </w:tc>
      </w:tr>
      <w:tr>
        <w:tc>
          <w:tcPr>
            <w:tcW w:type="dxa" w:w="147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Código válido</w:t>
            </w:r>
          </w:p>
        </w:tc>
        <w:tc>
          <w:tcPr>
            <w:tcW w:type="dxa" w:w="130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HSG fuera de 1–4</w:t>
            </w:r>
          </w:p>
        </w:tc>
        <w:tc>
          <w:tcPr>
            <w:tcW w:type="dxa" w:w="306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NoData y advertencia</w:t>
            </w:r>
          </w:p>
        </w:tc>
      </w:tr>
    </w:tbl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7. Descarga desde Google Earth Engine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1.  </w:t>
      </w:r>
      <w:r>
        <w:rPr>
          <w:lang w:val="es-PE"/>
        </w:rPr>
        <w:t>Seleccione la capa poligonal y el identificador de subunidad.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2.  </w:t>
      </w:r>
      <w:r>
        <w:rPr>
          <w:lang w:val="es-PE"/>
        </w:rPr>
        <w:t>Ingrese un proyecto Google Cloud habilitado para Earth Engine.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3.  </w:t>
      </w:r>
      <w:r>
        <w:rPr>
          <w:lang w:val="es-PE"/>
        </w:rPr>
        <w:t>Pulse Conectar / autorizar y complete personalmente el acceso en el navegador.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4.  </w:t>
      </w:r>
      <w:r>
        <w:rPr>
          <w:lang w:val="es-PE"/>
        </w:rPr>
        <w:t>Seleccione CN Perú, GCN250 o un asset personalizado y, si aplica, la banda.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5.  </w:t>
      </w:r>
      <w:r>
        <w:rPr>
          <w:lang w:val="es-PE"/>
        </w:rPr>
        <w:t>Marque las condiciones, el SRC proyectado, la resolución, carpeta y prefijo.</w:t>
      </w:r>
    </w:p>
    <w:p>
      <w:pPr>
        <w:spacing w:after="60"/>
        <w:ind w:left="397" w:hanging="397"/>
      </w:pPr>
      <w:r>
        <w:rPr>
          <w:b/>
          <w:lang w:val="es-PE"/>
        </w:rPr>
        <w:t xml:space="preserve">6.  </w:t>
      </w:r>
      <w:r>
        <w:rPr>
          <w:lang w:val="es-PE"/>
        </w:rPr>
        <w:t>Pulse Descargar CN y espere la confirmación de rasters, metadatos y estadísticas.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rPr>
          <w:tblHeader w:val="true"/>
          <w:tblHeader w:val="true"/>
        </w:trPr>
        <w:tc>
          <w:tcPr>
            <w:tcW w:type="dxa" w:w="1757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Fuente</w:t>
            </w:r>
          </w:p>
        </w:tc>
        <w:tc>
          <w:tcPr>
            <w:tcW w:type="dxa" w:w="249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Condiciones</w:t>
            </w:r>
          </w:p>
        </w:tc>
        <w:tc>
          <w:tcPr>
            <w:tcW w:type="dxa" w:w="170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Escala nominal</w:t>
            </w:r>
          </w:p>
        </w:tc>
        <w:tc>
          <w:tcPr>
            <w:tcW w:type="dxa" w:w="2835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Alcance</w:t>
            </w:r>
          </w:p>
        </w:tc>
      </w:tr>
      <w:tr>
        <w:tc>
          <w:tcPr>
            <w:tcW w:type="dxa" w:w="175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CN Perú</w:t>
            </w:r>
          </w:p>
        </w:tc>
        <w:tc>
          <w:tcPr>
            <w:tcW w:type="dxa" w:w="249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CN-II nativo; CN-I y CN-III derivados</w:t>
            </w:r>
          </w:p>
        </w:tc>
        <w:tc>
          <w:tcPr>
            <w:tcW w:type="dxa" w:w="170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90 m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Perú; asset projects/ee-mportuguezm/assets/CN_Peru</w:t>
            </w:r>
          </w:p>
        </w:tc>
      </w:tr>
      <w:tr>
        <w:tc>
          <w:tcPr>
            <w:tcW w:type="dxa" w:w="1757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GCN250</w:t>
            </w:r>
          </w:p>
        </w:tc>
        <w:tc>
          <w:tcPr>
            <w:tcW w:type="dxa" w:w="249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Dry, Average y Wet nativos</w:t>
            </w:r>
          </w:p>
        </w:tc>
        <w:tc>
          <w:tcPr>
            <w:tcW w:type="dxa" w:w="170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250 m</w:t>
            </w:r>
          </w:p>
        </w:tc>
        <w:tc>
          <w:tcPr>
            <w:tcW w:type="dxa" w:w="2835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Cobertura propia del producto GCN250</w:t>
            </w:r>
          </w:p>
        </w:tc>
      </w:tr>
      <w:tr>
        <w:tc>
          <w:tcPr>
            <w:tcW w:type="dxa" w:w="1757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Asset personalizado</w:t>
            </w:r>
          </w:p>
        </w:tc>
        <w:tc>
          <w:tcPr>
            <w:tcW w:type="dxa" w:w="249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Primera banda o banda indicada como CN-II</w:t>
            </w:r>
          </w:p>
        </w:tc>
        <w:tc>
          <w:tcPr>
            <w:tcW w:type="dxa" w:w="170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Definida por el usuario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Depende del asset y sus permisos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Autorización: </w:t>
            </w:r>
            <w:r>
              <w:t>HidroCN no solicita, lee ni almacena contraseñas. La sesión de Earth Engine depende del usuario y de los permisos de su proyecto/asset.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8. Condiciones CN y fórmulas</w:t>
      </w:r>
    </w:p>
    <w:p>
      <w:pPr>
        <w:spacing w:after="100" w:line="252" w:lineRule="auto"/>
      </w:pPr>
      <w:r>
        <w:rPr>
          <w:lang w:val="es-PE"/>
        </w:rPr>
        <w:t>Cuando la fuente ofrece solo CN-II, HidroCN estima las otras condiciones celda por celda con las relaciones publicadas por ANA (2015):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vAlign w:val="center"/>
            <w:shd w:fill="EAF4F8"/>
          </w:tcPr>
          <w:p>
            <w:r/>
            <w:r>
              <w:rPr>
                <w:rFonts w:ascii="Aptos" w:hAnsi="Aptos"/>
                <w:b/>
                <w:color w:val="155B7A"/>
                <w:sz w:val="26"/>
              </w:rPr>
              <w:t>CN(I) = 4,2 × CN(II) / [10 − 0,058 × CN(II)]</w:t>
            </w:r>
          </w:p>
        </w:tc>
      </w:tr>
      <w:tr>
        <w:tc>
          <w:tcPr>
            <w:tcW w:type="dxa" w:w="10200"/>
            <w:vAlign w:val="center"/>
            <w:shd w:fill="EDF5E9"/>
          </w:tcPr>
          <w:p>
            <w:r/>
            <w:r>
              <w:rPr>
                <w:rFonts w:ascii="Aptos" w:hAnsi="Aptos"/>
                <w:b/>
                <w:color w:val="4D8F3A"/>
                <w:sz w:val="26"/>
              </w:rPr>
              <w:t>CN(III) = 23 × CN(II) / [10 + 0,13 × CN(II)]</w:t>
            </w:r>
          </w:p>
        </w:tc>
      </w:tr>
    </w:tbl>
    <w:p/>
    <w:p>
      <w:pPr>
        <w:spacing w:after="100" w:line="252" w:lineRule="auto"/>
      </w:pPr>
      <w:r>
        <w:rPr>
          <w:lang w:val="es-PE"/>
        </w:rPr>
        <w:t>Los valores se mantienen en el intervalo físico (0, 100]. Los metadatos distinguen productos nativos/originales de productos derivados.</w:t>
      </w:r>
    </w:p>
    <w:p>
      <w:pPr>
        <w:pStyle w:val="Heading2"/>
        <w:keepNext/>
      </w:pPr>
      <w:r>
        <w:rPr>
          <w:lang w:val="es-PE"/>
        </w:rPr>
        <w:t>Retención potencial</w:t>
      </w:r>
    </w:p>
    <w:p>
      <w:pPr>
        <w:spacing w:after="100" w:line="252" w:lineRule="auto"/>
      </w:pPr>
      <w:r>
        <w:rPr>
          <w:lang w:val="es-PE"/>
        </w:rPr>
        <w:t>Si se necesita la retención potencial máxima en sistema internacional, puede calcularse como S = (25400 − 254 × CN) / CN, equivalente a S = 25400/CN − 254, con S en milímetros.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rPr>
          <w:tblHeader w:val="true"/>
          <w:tblHeader w:val="true"/>
        </w:trPr>
        <w:tc>
          <w:tcPr>
            <w:tcW w:type="dxa" w:w="226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Fuente</w:t>
            </w:r>
          </w:p>
        </w:tc>
        <w:tc>
          <w:tcPr>
            <w:tcW w:type="dxa" w:w="215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CN-I</w:t>
            </w:r>
          </w:p>
        </w:tc>
        <w:tc>
          <w:tcPr>
            <w:tcW w:type="dxa" w:w="215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CN-II</w:t>
            </w:r>
          </w:p>
        </w:tc>
        <w:tc>
          <w:tcPr>
            <w:tcW w:type="dxa" w:w="215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CN-III</w:t>
            </w:r>
          </w:p>
        </w:tc>
      </w:tr>
      <w:tr>
        <w:tc>
          <w:tcPr>
            <w:tcW w:type="dxa" w:w="226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CN Perú</w:t>
            </w:r>
          </w:p>
        </w:tc>
        <w:tc>
          <w:tcPr>
            <w:tcW w:type="dxa" w:w="215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Derivado</w:t>
            </w:r>
          </w:p>
        </w:tc>
        <w:tc>
          <w:tcPr>
            <w:tcW w:type="dxa" w:w="215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Nativo</w:t>
            </w:r>
          </w:p>
        </w:tc>
        <w:tc>
          <w:tcPr>
            <w:tcW w:type="dxa" w:w="215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Derivado</w:t>
            </w:r>
          </w:p>
        </w:tc>
      </w:tr>
      <w:tr>
        <w:tc>
          <w:tcPr>
            <w:tcW w:type="dxa" w:w="226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GCN250</w:t>
            </w:r>
          </w:p>
        </w:tc>
        <w:tc>
          <w:tcPr>
            <w:tcW w:type="dxa" w:w="215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Nativo Dry</w:t>
            </w:r>
          </w:p>
        </w:tc>
        <w:tc>
          <w:tcPr>
            <w:tcW w:type="dxa" w:w="215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Nativo Average</w:t>
            </w:r>
          </w:p>
        </w:tc>
        <w:tc>
          <w:tcPr>
            <w:tcW w:type="dxa" w:w="215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Nativo Wet</w:t>
            </w:r>
          </w:p>
        </w:tc>
      </w:tr>
      <w:tr>
        <w:tc>
          <w:tcPr>
            <w:tcW w:type="dxa" w:w="226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Asset personalizado</w:t>
            </w:r>
          </w:p>
        </w:tc>
        <w:tc>
          <w:tcPr>
            <w:tcW w:type="dxa" w:w="215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Derivado</w:t>
            </w:r>
          </w:p>
        </w:tc>
        <w:tc>
          <w:tcPr>
            <w:tcW w:type="dxa" w:w="215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Nativo declarado</w:t>
            </w:r>
          </w:p>
        </w:tc>
        <w:tc>
          <w:tcPr>
            <w:tcW w:type="dxa" w:w="215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Derivado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No confundir: </w:t>
            </w:r>
            <w:r>
              <w:t>La fórmula de S no convierte condiciones antecedentes; transforma un CN concreto en retención potencial.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9. Salidas y estadísticas areales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rPr>
          <w:tblHeader w:val="true"/>
          <w:tblHeader w:val="true"/>
        </w:trPr>
        <w:tc>
          <w:tcPr>
            <w:tcW w:type="dxa" w:w="2324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Producto</w:t>
            </w:r>
          </w:p>
        </w:tc>
        <w:tc>
          <w:tcPr>
            <w:tcW w:type="dxa" w:w="153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Formato</w:t>
            </w:r>
          </w:p>
        </w:tc>
        <w:tc>
          <w:tcPr>
            <w:tcW w:type="dxa" w:w="4932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Contenido</w:t>
            </w:r>
          </w:p>
        </w:tc>
      </w:tr>
      <w:tr>
        <w:tc>
          <w:tcPr>
            <w:tcW w:type="dxa" w:w="232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CN-I / CN-II / CN-III</w:t>
            </w:r>
          </w:p>
        </w:tc>
        <w:tc>
          <w:tcPr>
            <w:tcW w:type="dxa" w:w="153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GeoTIFF</w:t>
            </w:r>
          </w:p>
        </w:tc>
        <w:tc>
          <w:tcPr>
            <w:tcW w:type="dxa" w:w="4932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Raster proyectado, recortado y con NoData -9999 fuera de la cuenca.</w:t>
            </w:r>
          </w:p>
        </w:tc>
      </w:tr>
      <w:tr>
        <w:tc>
          <w:tcPr>
            <w:tcW w:type="dxa" w:w="232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Estadísticas</w:t>
            </w:r>
          </w:p>
        </w:tc>
        <w:tc>
          <w:tcPr>
            <w:tcW w:type="dxa" w:w="153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CSV</w:t>
            </w:r>
          </w:p>
        </w:tc>
        <w:tc>
          <w:tcPr>
            <w:tcW w:type="dxa" w:w="4932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Una fila por subunidad y campos de media, mínimo, máximo, cobertura y píxeles.</w:t>
            </w:r>
          </w:p>
        </w:tc>
      </w:tr>
      <w:tr>
        <w:tc>
          <w:tcPr>
            <w:tcW w:type="dxa" w:w="232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Subunidades CN</w:t>
            </w:r>
          </w:p>
        </w:tc>
        <w:tc>
          <w:tcPr>
            <w:tcW w:type="dxa" w:w="153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GeoPackage</w:t>
            </w:r>
          </w:p>
        </w:tc>
        <w:tc>
          <w:tcPr>
            <w:tcW w:type="dxa" w:w="4932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Geometría original con campos estadísticos de cada condición.</w:t>
            </w:r>
          </w:p>
        </w:tc>
      </w:tr>
      <w:tr>
        <w:tc>
          <w:tcPr>
            <w:tcW w:type="dxa" w:w="2324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Metadatos</w:t>
            </w:r>
          </w:p>
        </w:tc>
        <w:tc>
          <w:tcPr>
            <w:tcW w:type="dxa" w:w="153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JSON</w:t>
            </w:r>
          </w:p>
        </w:tc>
        <w:tc>
          <w:tcPr>
            <w:tcW w:type="dxa" w:w="4932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Fuente, escala, SRC, condición, derivación y rutas de salida.</w:t>
            </w:r>
          </w:p>
        </w:tc>
      </w:tr>
      <w:tr>
        <w:tc>
          <w:tcPr>
            <w:tcW w:type="dxa" w:w="2324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Informe local</w:t>
            </w:r>
          </w:p>
        </w:tc>
        <w:tc>
          <w:tcPr>
            <w:tcW w:type="dxa" w:w="1531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HTML</w:t>
            </w:r>
          </w:p>
        </w:tc>
        <w:tc>
          <w:tcPr>
            <w:tcW w:type="dxa" w:w="4932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Entradas, calidad del cruce y advertencias del cálculo local.</w:t>
            </w:r>
          </w:p>
        </w:tc>
      </w:tr>
    </w:tbl>
    <w:p>
      <w:pPr>
        <w:pStyle w:val="Heading2"/>
        <w:keepNext/>
      </w:pPr>
      <w:r>
        <w:rPr>
          <w:lang w:val="es-PE"/>
        </w:rPr>
        <w:t>Cómo se calcula la media areal</w:t>
      </w:r>
    </w:p>
    <w:p>
      <w:pPr>
        <w:spacing w:after="100" w:line="252" w:lineRule="auto"/>
      </w:pPr>
      <w:r>
        <w:rPr>
          <w:lang w:val="es-PE"/>
        </w:rPr>
        <w:t>Para cada polígono se promedian los valores de las celdas válidas cuyo centro cae en la subunidad. Como la malla está en un SRC proyectado y todas las celdas tienen igual área, la media de píxeles equivale a una media ponderada por área:</w:t>
      </w:r>
    </w:p>
    <w:p>
      <w:pPr>
        <w:spacing w:after="100" w:line="252" w:lineRule="auto"/>
      </w:pPr>
      <w:r>
        <w:rPr>
          <w:lang w:val="es-PE"/>
        </w:rPr>
        <w:t>CN_areal = Σ(CNᵢ × Aᵢ) / ΣAᵢ. En una malla regular, Aᵢ es constante y se simplifica a ΣCNᵢ / n.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Diferencias con Propiedades del raster: </w:t>
            </w:r>
            <w:r>
              <w:t>La media global de QGIS puede incluir todas las celdas válidas de la extensión del archivo y mostrar VALID_PERCENT respecto al rectángulo. HidroCN calcula por cada polígono y su campo COV expresa cobertura válida dentro de esa subunidad.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10. Control de calidad</w:t>
      </w:r>
    </w:p>
    <w:p>
      <w:pPr>
        <w:pStyle w:val="Heading2"/>
        <w:keepNext/>
      </w:pPr>
      <w:r>
        <w:rPr>
          <w:lang w:val="es-PE"/>
        </w:rPr>
        <w:t>Antes de ejecutar</w:t>
      </w:r>
    </w:p>
    <w:p>
      <w:pPr>
        <w:pStyle w:val="ListBullet"/>
        <w:spacing w:after="40"/>
      </w:pPr>
      <w:r>
        <w:rPr>
          <w:lang w:val="es-PE"/>
        </w:rPr>
        <w:t>Geometrías válidas, identificadores únicos y sin solapes.</w:t>
      </w:r>
    </w:p>
    <w:p>
      <w:pPr>
        <w:pStyle w:val="ListBullet"/>
        <w:spacing w:after="40"/>
      </w:pPr>
      <w:r>
        <w:rPr>
          <w:lang w:val="es-PE"/>
        </w:rPr>
        <w:t>SRC proyectado apropiado y resolución coherente con las fuentes.</w:t>
      </w:r>
    </w:p>
    <w:p>
      <w:pPr>
        <w:pStyle w:val="ListBullet"/>
        <w:spacing w:after="40"/>
      </w:pPr>
      <w:r>
        <w:rPr>
          <w:lang w:val="es-PE"/>
        </w:rPr>
        <w:t>LULC categórico con códigos enteros; HSG limitado a 1–4.</w:t>
      </w:r>
    </w:p>
    <w:p>
      <w:pPr>
        <w:pStyle w:val="ListBullet"/>
        <w:spacing w:after="40"/>
      </w:pPr>
      <w:r>
        <w:rPr>
          <w:lang w:val="es-PE"/>
        </w:rPr>
        <w:t>Tabla con una sola fila por LUValue y valores CN en (0, 100].</w:t>
      </w:r>
    </w:p>
    <w:p>
      <w:pPr>
        <w:pStyle w:val="ListBullet"/>
        <w:spacing w:after="40"/>
      </w:pPr>
      <w:r>
        <w:rPr>
          <w:lang w:val="es-PE"/>
        </w:rPr>
        <w:t>Permisos de Earth Engine verificados si se usa GEE.</w:t>
      </w:r>
    </w:p>
    <w:p>
      <w:pPr>
        <w:pStyle w:val="Heading2"/>
        <w:keepNext/>
      </w:pPr>
      <w:r>
        <w:rPr>
          <w:lang w:val="es-PE"/>
        </w:rPr>
        <w:t>Después de ejecutar</w:t>
      </w:r>
    </w:p>
    <w:p>
      <w:pPr>
        <w:pStyle w:val="ListBullet"/>
        <w:spacing w:after="40"/>
      </w:pPr>
      <w:r>
        <w:rPr>
          <w:lang w:val="es-PE"/>
        </w:rPr>
        <w:t>Confirmar que el raster termina exactamente en la cuenca y que el exterior es transparente/NoData.</w:t>
      </w:r>
    </w:p>
    <w:p>
      <w:pPr>
        <w:pStyle w:val="ListBullet"/>
        <w:spacing w:after="40"/>
      </w:pPr>
      <w:r>
        <w:rPr>
          <w:lang w:val="es-PE"/>
        </w:rPr>
        <w:t>Revisar rango, media y cobertura por subunidad; investigar coberturas bajas.</w:t>
      </w:r>
    </w:p>
    <w:p>
      <w:pPr>
        <w:pStyle w:val="ListBullet"/>
        <w:spacing w:after="40"/>
      </w:pPr>
      <w:r>
        <w:rPr>
          <w:lang w:val="es-PE"/>
        </w:rPr>
        <w:t>Comparar visualmente zonas urbanas, agua, nieve, bosque y cultivos con la cobertura de entrada.</w:t>
      </w:r>
    </w:p>
    <w:p>
      <w:pPr>
        <w:pStyle w:val="ListBullet"/>
        <w:spacing w:after="40"/>
      </w:pPr>
      <w:r>
        <w:rPr>
          <w:lang w:val="es-PE"/>
        </w:rPr>
        <w:t>Abrir el JSON y el informe HTML para conservar la trazabilidad.</w:t>
      </w:r>
    </w:p>
    <w:p>
      <w:pPr>
        <w:pStyle w:val="ListBullet"/>
        <w:spacing w:after="40"/>
      </w:pPr>
      <w:r>
        <w:rPr>
          <w:lang w:val="es-PE"/>
        </w:rPr>
        <w:t>No interpretar la paleta 0–100 como rango estadístico: la simbología debe usar el mínimo y máximo válidos.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  <w:tblHeader w:val="true"/>
        </w:trPr>
        <w:tc>
          <w:tcPr>
            <w:tcW w:type="dxa" w:w="243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Indicador</w:t>
            </w:r>
          </w:p>
        </w:tc>
        <w:tc>
          <w:tcPr>
            <w:tcW w:type="dxa" w:w="6350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243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COV cercano a 100 %</w:t>
            </w:r>
          </w:p>
        </w:tc>
        <w:tc>
          <w:tcPr>
            <w:tcW w:type="dxa" w:w="6350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La mayor parte de la subunidad tiene valores CN válidos.</w:t>
            </w:r>
          </w:p>
        </w:tc>
      </w:tr>
      <w:tr>
        <w:tc>
          <w:tcPr>
            <w:tcW w:type="dxa" w:w="243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COV bajo</w:t>
            </w:r>
          </w:p>
        </w:tc>
        <w:tc>
          <w:tcPr>
            <w:tcW w:type="dxa" w:w="6350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Hay NoData, combinaciones LULC-HSG no definidas o falta de cobertura de la fuente.</w:t>
            </w:r>
          </w:p>
        </w:tc>
      </w:tr>
      <w:tr>
        <w:tc>
          <w:tcPr>
            <w:tcW w:type="dxa" w:w="2438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-inf en valores únicos</w:t>
            </w:r>
          </w:p>
        </w:tc>
        <w:tc>
          <w:tcPr>
            <w:tcW w:type="dxa" w:w="6350"/>
            <w:vAlign w:val="center"/>
          </w:tcPr>
          <w:p>
            <w:r/>
            <w:r>
              <w:rPr>
                <w:rFonts w:ascii="Aptos" w:hAnsi="Aptos"/>
                <w:b w:val="0"/>
                <w:sz w:val="16"/>
              </w:rPr>
              <w:t>Indica un NoData/valor no finito mal interpretado; HidroCN normaliza a -9999.</w:t>
            </w:r>
          </w:p>
        </w:tc>
      </w:tr>
      <w:tr>
        <w:tc>
          <w:tcPr>
            <w:tcW w:type="dxa" w:w="243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Mínimo y máximo iguales</w:t>
            </w:r>
          </w:p>
        </w:tc>
        <w:tc>
          <w:tcPr>
            <w:tcW w:type="dxa" w:w="6350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6"/>
              </w:rPr>
              <w:t>La subunidad contiene una sola clase CN o muy pocos píxeles válidos.</w:t>
            </w:r>
          </w:p>
        </w:tc>
      </w:tr>
    </w:tbl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11. Solución de problemas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rPr>
          <w:tblHeader w:val="true"/>
          <w:tblHeader w:val="true"/>
        </w:trPr>
        <w:tc>
          <w:tcPr>
            <w:tcW w:type="dxa" w:w="2381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5"/>
              </w:rPr>
              <w:t>Síntoma</w:t>
            </w:r>
          </w:p>
        </w:tc>
        <w:tc>
          <w:tcPr>
            <w:tcW w:type="dxa" w:w="311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5"/>
              </w:rPr>
              <w:t>Causa probable</w:t>
            </w:r>
          </w:p>
        </w:tc>
        <w:tc>
          <w:tcPr>
            <w:tcW w:type="dxa" w:w="3288"/>
            <w:vAlign w:val="center"/>
            <w:shd w:fill="155B7A"/>
          </w:tcPr>
          <w:p>
            <w:r/>
            <w:r>
              <w:rPr>
                <w:rFonts w:ascii="Aptos" w:hAnsi="Aptos"/>
                <w:b/>
                <w:color w:val="FFFFFF"/>
                <w:sz w:val="15"/>
              </w:rPr>
              <w:t>Acción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Token -m inesperado en PowerShell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Falta el operador &amp; antes del ejecutable entre comillas.</w:t>
            </w:r>
          </w:p>
        </w:tc>
        <w:tc>
          <w:tcPr>
            <w:tcW w:type="dxa" w:w="328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Use &amp; "ruta\python.exe" -m pip ...</w:t>
            </w:r>
          </w:p>
        </w:tc>
      </w:tr>
      <w:tr>
        <w:tc>
          <w:tcPr>
            <w:tcW w:type="dxa" w:w="238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earthengine-api no disponible</w:t>
            </w:r>
          </w:p>
        </w:tc>
        <w:tc>
          <w:tcPr>
            <w:tcW w:type="dxa" w:w="311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Paquete no instalado en el Python que usa QGIS.</w:t>
            </w:r>
          </w:p>
        </w:tc>
        <w:tc>
          <w:tcPr>
            <w:tcW w:type="dxa" w:w="328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Use Cómo instalar la API y reinicie QGIS.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Acceso denegado al asset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Proyecto, cuenta o asset sin permisos.</w:t>
            </w:r>
          </w:p>
        </w:tc>
        <w:tc>
          <w:tcPr>
            <w:tcW w:type="dxa" w:w="328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Cambie autorización o solicite acceso al propietario.</w:t>
            </w:r>
          </w:p>
        </w:tc>
      </w:tr>
      <w:tr>
        <w:tc>
          <w:tcPr>
            <w:tcW w:type="dxa" w:w="238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CN-I/III cubren la extensión</w:t>
            </w:r>
          </w:p>
        </w:tc>
        <w:tc>
          <w:tcPr>
            <w:tcW w:type="dxa" w:w="311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NoData no normalizado en una salida previa.</w:t>
            </w:r>
          </w:p>
        </w:tc>
        <w:tc>
          <w:tcPr>
            <w:tcW w:type="dxa" w:w="328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Regenerar con 0.5.0 y verificar -9999 fuera de la cuenca.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Clases LULC ausentes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La tabla no contiene todos los códigos del raster.</w:t>
            </w:r>
          </w:p>
        </w:tc>
        <w:tc>
          <w:tcPr>
            <w:tcW w:type="dxa" w:w="328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Complete la biblioteca/CSV; no suprima la advertencia.</w:t>
            </w:r>
          </w:p>
        </w:tc>
      </w:tr>
      <w:tr>
        <w:tc>
          <w:tcPr>
            <w:tcW w:type="dxa" w:w="2381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Media distinta de Propiedades</w:t>
            </w:r>
          </w:p>
        </w:tc>
        <w:tc>
          <w:tcPr>
            <w:tcW w:type="dxa" w:w="311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Estadística global frente a estadística por polígono.</w:t>
            </w:r>
          </w:p>
        </w:tc>
        <w:tc>
          <w:tcPr>
            <w:tcW w:type="dxa" w:w="3288"/>
            <w:vAlign w:val="center"/>
            <w:shd w:fill="F4F7F8"/>
          </w:tcPr>
          <w:p>
            <w:r/>
            <w:r>
              <w:rPr>
                <w:rFonts w:ascii="Aptos" w:hAnsi="Aptos"/>
                <w:b w:val="0"/>
                <w:sz w:val="15"/>
              </w:rPr>
              <w:t>Use el CSV/GeoPackage de HidroCN para CN areal.</w:t>
            </w:r>
          </w:p>
        </w:tc>
      </w:tr>
      <w:tr>
        <w:tc>
          <w:tcPr>
            <w:tcW w:type="dxa" w:w="2381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Descarga demasiado grande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Límite de descarga directa de GEE.</w:t>
            </w:r>
          </w:p>
        </w:tc>
        <w:tc>
          <w:tcPr>
            <w:tcW w:type="dxa" w:w="3288"/>
            <w:vAlign w:val="center"/>
          </w:tcPr>
          <w:p>
            <w:r/>
            <w:r>
              <w:rPr>
                <w:rFonts w:ascii="Aptos" w:hAnsi="Aptos"/>
                <w:b w:val="0"/>
                <w:sz w:val="15"/>
              </w:rPr>
              <w:t>Aumente resolución o divida el área de forma controlada.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AF4F8"/>
          </w:tcPr>
          <w:p>
            <w:r/>
            <w:r>
              <w:rPr>
                <w:b/>
              </w:rPr>
              <w:t xml:space="preserve">Reporte: </w:t>
            </w:r>
            <w:r>
              <w:t>Al abrir una incidencia, adjunte versión de QGIS, sistema operativo, fuente, SRC, resolución, registro completo y un caso mínimo que pueda compartirse legalmente.</w:t>
            </w:r>
          </w:p>
        </w:tc>
      </w:tr>
    </w:tbl>
    <w:p>
      <w:pPr>
        <w:spacing w:after="0"/>
      </w:pP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12. Notas técnicas y seguridad</w:t>
      </w:r>
    </w:p>
    <w:p>
      <w:pPr>
        <w:pStyle w:val="Heading2"/>
        <w:keepNext/>
      </w:pPr>
      <w:r>
        <w:rPr>
          <w:lang w:val="es-PE"/>
        </w:rPr>
        <w:t>Implementación</w:t>
      </w:r>
    </w:p>
    <w:p>
      <w:pPr>
        <w:pStyle w:val="ListBullet"/>
        <w:spacing w:after="40"/>
      </w:pPr>
      <w:r>
        <w:rPr>
          <w:lang w:val="es-PE"/>
        </w:rPr>
        <w:t>Reproyección y alineación categórica mediante GDAL/OGR y vecino más cercano.</w:t>
      </w:r>
    </w:p>
    <w:p>
      <w:pPr>
        <w:pStyle w:val="ListBullet"/>
        <w:spacing w:after="40"/>
      </w:pPr>
      <w:r>
        <w:rPr>
          <w:lang w:val="es-PE"/>
        </w:rPr>
        <w:t>Cálculo matricial con NumPy; NoData estándar -9999 en salidas raster.</w:t>
      </w:r>
    </w:p>
    <w:p>
      <w:pPr>
        <w:pStyle w:val="ListBullet"/>
        <w:spacing w:after="40"/>
      </w:pPr>
      <w:r>
        <w:rPr>
          <w:lang w:val="es-PE"/>
        </w:rPr>
        <w:t>Descarga GEE mediante earthengine-api y URL temporal; la cuenca no se registra como asset.</w:t>
      </w:r>
    </w:p>
    <w:p>
      <w:pPr>
        <w:pStyle w:val="ListBullet"/>
        <w:spacing w:after="40"/>
      </w:pPr>
      <w:r>
        <w:rPr>
          <w:lang w:val="es-PE"/>
        </w:rPr>
        <w:t>Estadísticas zonales generadas de forma homogénea para el flujo local y el flujo GEE.</w:t>
      </w:r>
    </w:p>
    <w:p>
      <w:pPr>
        <w:pStyle w:val="ListBullet"/>
        <w:spacing w:after="40"/>
      </w:pPr>
      <w:r>
        <w:rPr>
          <w:lang w:val="es-PE"/>
        </w:rPr>
        <w:t>Metadatos públicos de versión, fuente, condición y método de derivación.</w:t>
      </w:r>
    </w:p>
    <w:p>
      <w:pPr>
        <w:pStyle w:val="Heading2"/>
        <w:keepNext/>
      </w:pPr>
      <w:r>
        <w:rPr>
          <w:lang w:val="es-PE"/>
        </w:rPr>
        <w:t>Privacidad y credenciales</w:t>
      </w:r>
    </w:p>
    <w:p>
      <w:pPr>
        <w:spacing w:after="100" w:line="252" w:lineRule="auto"/>
      </w:pPr>
      <w:r>
        <w:rPr>
          <w:lang w:val="es-PE"/>
        </w:rPr>
        <w:t>HidroCN no incluye claves, tokens ni contraseñas. La autorización se realiza en el navegador del usuario. Los identificadores de proyecto y asset pueden aparecer en los metadatos para reproducibilidad; el acceso real sigue controlado por Google Earth Engine.</w:t>
      </w:r>
    </w:p>
    <w:p>
      <w:pPr>
        <w:pStyle w:val="Heading2"/>
        <w:keepNext/>
      </w:pPr>
      <w:r>
        <w:rPr>
          <w:lang w:val="es-PE"/>
        </w:rPr>
        <w:t>Limitaciones de 0.5.0</w:t>
      </w:r>
    </w:p>
    <w:p>
      <w:pPr>
        <w:pStyle w:val="ListBullet"/>
        <w:spacing w:after="40"/>
      </w:pPr>
      <w:r>
        <w:rPr>
          <w:lang w:val="es-PE"/>
        </w:rPr>
        <w:t>Las entradas LULC y HSG locales deben ser rasters guardados en disco.</w:t>
      </w:r>
    </w:p>
    <w:p>
      <w:pPr>
        <w:pStyle w:val="ListBullet"/>
        <w:spacing w:after="40"/>
      </w:pPr>
      <w:r>
        <w:rPr>
          <w:lang w:val="es-PE"/>
        </w:rPr>
        <w:t>El origen de la malla se ajusta a la extensión/resolución; no se hereda de un DEM de referencia.</w:t>
      </w:r>
    </w:p>
    <w:p>
      <w:pPr>
        <w:pStyle w:val="ListBullet"/>
        <w:spacing w:after="40"/>
      </w:pPr>
      <w:r>
        <w:rPr>
          <w:lang w:val="es-PE"/>
        </w:rPr>
        <w:t>En subcuencas solapadas prevalece la última geometría rasterizada.</w:t>
      </w:r>
    </w:p>
    <w:p>
      <w:pPr>
        <w:pStyle w:val="ListBullet"/>
        <w:spacing w:after="40"/>
      </w:pPr>
      <w:r>
        <w:rPr>
          <w:lang w:val="es-PE"/>
        </w:rPr>
        <w:t>La descarga GEE es directa y no implementa mosaico automático por teselas.</w:t>
      </w:r>
    </w:p>
    <w:p>
      <w:pPr>
        <w:pStyle w:val="ListBullet"/>
        <w:spacing w:after="40"/>
      </w:pPr>
      <w:r>
        <w:rPr>
          <w:lang w:val="es-PE"/>
        </w:rPr>
        <w:t>No exporta HEC-DSS ni sustituye la revisión hidrológica de equivalencias LULC.</w:t>
      </w:r>
    </w:p>
    <w:p>
      <w:r>
        <w:rPr>
          <w:lang w:val="es-PE"/>
        </w:rPr>
        <w:br w:type="page"/>
      </w:r>
    </w:p>
    <w:p>
      <w:pPr>
        <w:pStyle w:val="Heading1"/>
        <w:keepNext/>
      </w:pPr>
      <w:r>
        <w:rPr>
          <w:lang w:val="es-PE"/>
        </w:rPr>
        <w:t>13. Referencias y soporte</w:t>
      </w:r>
    </w:p>
    <w:p>
      <w:pPr>
        <w:pStyle w:val="Heading2"/>
        <w:keepNext/>
      </w:pPr>
      <w:r>
        <w:rPr>
          <w:lang w:val="es-PE"/>
        </w:rPr>
        <w:t>Referencias metodológicas</w:t>
      </w:r>
    </w:p>
    <w:p>
      <w:pPr>
        <w:pStyle w:val="ListBullet"/>
      </w:pPr>
      <w:r>
        <w:rPr>
          <w:lang w:val="es-PE"/>
        </w:rPr>
        <w:t xml:space="preserve">ANA (2015). Generación del mapa temático de Curva Número (CN), tabla 4 y relaciones de condiciones antecedentes. </w:t>
      </w:r>
      <w:hyperlink r:id="rId12">
        <w:r>
          <w:rPr>
            <w:color w:val="155B7A"/>
            <w:u w:val="single"/>
          </w:rPr>
          <w:t>Repositorio institucional de la ANA</w:t>
        </w:r>
      </w:hyperlink>
    </w:p>
    <w:p>
      <w:pPr>
        <w:pStyle w:val="ListBullet"/>
      </w:pPr>
      <w:r>
        <w:rPr>
          <w:lang w:val="es-PE"/>
        </w:rPr>
        <w:t xml:space="preserve">USDA NRCS. National Engineering Handbook, Part 630, Chapter 9: Hydrologic Soil-Cover Complexes. </w:t>
      </w:r>
      <w:hyperlink r:id="rId13">
        <w:r>
          <w:rPr>
            <w:color w:val="155B7A"/>
            <w:u w:val="single"/>
          </w:rPr>
          <w:t>Capítulo 9 del manual NRCS</w:t>
        </w:r>
      </w:hyperlink>
    </w:p>
    <w:p>
      <w:pPr>
        <w:pStyle w:val="ListBullet"/>
      </w:pPr>
      <w:r>
        <w:rPr>
          <w:lang w:val="es-PE"/>
        </w:rPr>
        <w:t xml:space="preserve">HEC-GeoHMS User's Manual 10.1 y documentación HEC-HMS sobre Curve Number Grid. </w:t>
      </w:r>
      <w:hyperlink r:id="rId14">
        <w:r>
          <w:rPr>
            <w:color w:val="155B7A"/>
            <w:u w:val="single"/>
          </w:rPr>
          <w:t>Documentación oficial HEC-HMS</w:t>
        </w:r>
      </w:hyperlink>
    </w:p>
    <w:p>
      <w:pPr>
        <w:pStyle w:val="ListBullet"/>
      </w:pPr>
      <w:r>
        <w:rPr>
          <w:lang w:val="es-PE"/>
        </w:rPr>
        <w:t xml:space="preserve">GCN250: Global Curve Number dataset, assets de Dry, Average y Wet. </w:t>
      </w:r>
      <w:hyperlink r:id="rId15">
        <w:r>
          <w:rPr>
            <w:color w:val="155B7A"/>
            <w:u w:val="single"/>
          </w:rPr>
          <w:t>Ficha comunitaria de GCN250</w:t>
        </w:r>
      </w:hyperlink>
    </w:p>
    <w:p>
      <w:pPr>
        <w:pStyle w:val="ListBullet"/>
      </w:pPr>
      <w:r>
        <w:rPr>
          <w:lang w:val="es-PE"/>
        </w:rPr>
        <w:t xml:space="preserve">SCS-CN Builder, referencia funcional GPL-3.0-or-later. </w:t>
      </w:r>
      <w:hyperlink r:id="rId16">
        <w:r>
          <w:rPr>
            <w:color w:val="155B7A"/>
            <w:u w:val="single"/>
          </w:rPr>
          <w:t>Repositorio de SCS-CN Builder</w:t>
        </w:r>
      </w:hyperlink>
    </w:p>
    <w:p>
      <w:pPr>
        <w:pStyle w:val="Heading2"/>
        <w:keepNext/>
      </w:pPr>
      <w:r>
        <w:rPr>
          <w:lang w:val="es-PE"/>
        </w:rPr>
        <w:t>Proyecto y soporte</w:t>
      </w:r>
    </w:p>
    <w:p>
      <w:r>
        <w:rPr>
          <w:b/>
          <w:lang w:val="es-PE"/>
        </w:rPr>
        <w:t xml:space="preserve">Código fuente: </w:t>
      </w:r>
      <w:hyperlink r:id="rId17">
        <w:r>
          <w:rPr>
            <w:color w:val="155B7A"/>
            <w:u w:val="single"/>
          </w:rPr>
          <w:t>Repositorio público de HidroCN</w:t>
        </w:r>
      </w:hyperlink>
    </w:p>
    <w:p>
      <w:r>
        <w:rPr>
          <w:b/>
          <w:lang w:val="es-PE"/>
        </w:rPr>
        <w:t xml:space="preserve">Reporte de incidencias: </w:t>
      </w:r>
      <w:hyperlink r:id="rId18">
        <w:r>
          <w:rPr>
            <w:color w:val="155B7A"/>
            <w:u w:val="single"/>
          </w:rPr>
          <w:t>Registro de incidencias de HidroCN</w:t>
        </w:r>
      </w:hyperlink>
    </w:p>
    <w:p>
      <w:r>
        <w:rPr>
          <w:b/>
          <w:lang w:val="es-PE"/>
        </w:rPr>
        <w:t xml:space="preserve">Portal de complementos QGIS: </w:t>
      </w:r>
      <w:hyperlink r:id="rId19">
        <w:r>
          <w:rPr>
            <w:color w:val="155B7A"/>
            <w:u w:val="single"/>
          </w:rPr>
          <w:t>Portal oficial de complementos QGIS</w:t>
        </w:r>
      </w:hyperlink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rPr>
          <w:tblHeader w:val="true"/>
        </w:trPr>
        <w:tc>
          <w:tcPr>
            <w:tcW w:type="dxa" w:w="10200"/>
            <w:shd w:fill="EDF5E9"/>
          </w:tcPr>
          <w:p>
            <w:r/>
            <w:r>
              <w:rPr>
                <w:b/>
              </w:rPr>
              <w:t xml:space="preserve">Licencia: </w:t>
            </w:r>
            <w:r>
              <w:t>HidroCN se distribuye bajo GNU GPL v3 o posterior. Las fuentes de datos externas mantienen sus propias condiciones de uso y atribución.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rPr>
          <w:lang w:val="es-PE"/>
        </w:rPr>
        <w:t>Lista final</w:t>
      </w:r>
    </w:p>
    <w:p>
      <w:pPr>
        <w:pStyle w:val="ListBullet"/>
        <w:spacing w:after="40"/>
      </w:pPr>
      <w:r>
        <w:rPr>
          <w:lang w:val="es-PE"/>
        </w:rPr>
        <w:t>Datos y equivalencias documentados.</w:t>
      </w:r>
    </w:p>
    <w:p>
      <w:pPr>
        <w:pStyle w:val="ListBullet"/>
        <w:spacing w:after="40"/>
      </w:pPr>
      <w:r>
        <w:rPr>
          <w:lang w:val="es-PE"/>
        </w:rPr>
        <w:t>Rango y cobertura revisados.</w:t>
      </w:r>
    </w:p>
    <w:p>
      <w:pPr>
        <w:pStyle w:val="ListBullet"/>
        <w:spacing w:after="40"/>
      </w:pPr>
      <w:r>
        <w:rPr>
          <w:lang w:val="es-PE"/>
        </w:rPr>
        <w:t>JSON, CSV/GeoPackage e informe conservados con el proyecto.</w:t>
      </w:r>
    </w:p>
    <w:p>
      <w:pPr>
        <w:pStyle w:val="ListBullet"/>
        <w:spacing w:after="40"/>
      </w:pPr>
      <w:r>
        <w:rPr>
          <w:lang w:val="es-PE"/>
        </w:rPr>
        <w:t>Versión de HidroCN y QGIS registrada para reproducibilidad.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5" w:right="1020" w:bottom="879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Página </w:t>
      <w:fldChar w:fldCharType="begin"/>
      <w:instrText xml:space="preserve">PAGE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55555"/>
        <w:sz w:val="16"/>
      </w:rPr>
      <w:t>HidroCN 0.5.0  |  Manual técnico y de usuario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ptos" w:hAnsi="Aptos" w:eastAsia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55B7A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4D8F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55B7A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55B7A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 w:eastAsia="Aptos"/>
      <w:b w:val="0"/>
      <w:i/>
      <w:iCs/>
      <w:color w:val="555555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ptos" w:hAnsi="Aptos"/>
      <w:sz w:val="18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Aptos" w:hAnsi="Aptos"/>
      <w:sz w:val="18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hyperlink" Target="https://repositorio.ana.gob.pe/" TargetMode="External"/><Relationship Id="rId13" Type="http://schemas.openxmlformats.org/officeDocument/2006/relationships/hyperlink" Target="https://directives.nrcs.usda.gov/sites/default/files2/1712930607/7306.pdf" TargetMode="External"/><Relationship Id="rId14" Type="http://schemas.openxmlformats.org/officeDocument/2006/relationships/hyperlink" Target="https://www.hec.usace.army.mil/confluence/hmsdocs/" TargetMode="External"/><Relationship Id="rId15" Type="http://schemas.openxmlformats.org/officeDocument/2006/relationships/hyperlink" Target="https://gee-community-catalog.org/projects/gcn250/" TargetMode="External"/><Relationship Id="rId16" Type="http://schemas.openxmlformats.org/officeDocument/2006/relationships/hyperlink" Target="https://github.com/nikolavdjokic995-ctrl/SCS-CN-Builder" TargetMode="External"/><Relationship Id="rId17" Type="http://schemas.openxmlformats.org/officeDocument/2006/relationships/hyperlink" Target="https://github.com/victoroalvites-cpu/HidroCN-QGIS" TargetMode="External"/><Relationship Id="rId18" Type="http://schemas.openxmlformats.org/officeDocument/2006/relationships/hyperlink" Target="https://github.com/victoroalvites-cpu/HidroCN-QGIS/issues" TargetMode="External"/><Relationship Id="rId19" Type="http://schemas.openxmlformats.org/officeDocument/2006/relationships/hyperlink" Target="https://plugins.qgi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técnico y de usuario HidroCN QGIS 0.5.0</dc:title>
  <dc:subject>Instalación, entradas, operación, resultados y control de calidad de HidroCN</dc:subject>
  <dc:creator>Victor Olivos</dc:creator>
  <cp:keywords>QGIS, HidroCN, SCS-CN, HEC-GeoHMS, Google Earth Engine</cp:keywords>
  <dc:description>Documento público de la versión estable 0.5.0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